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942E0">
      <w:pPr>
        <w:spacing w:line="360" w:lineRule="auto"/>
        <w:jc w:val="center"/>
        <w:rPr>
          <w:rFonts w:ascii="仿宋" w:hAnsi="仿宋" w:eastAsia="仿宋" w:cs="仿宋"/>
          <w:sz w:val="24"/>
        </w:rPr>
      </w:pPr>
    </w:p>
    <w:p w14:paraId="517FBD71">
      <w:pPr>
        <w:spacing w:line="360" w:lineRule="auto"/>
        <w:jc w:val="center"/>
        <w:rPr>
          <w:rFonts w:ascii="仿宋" w:hAnsi="仿宋" w:eastAsia="仿宋" w:cs="仿宋"/>
          <w:sz w:val="24"/>
        </w:rPr>
      </w:pPr>
    </w:p>
    <w:p w14:paraId="3FAA1918">
      <w:pPr>
        <w:spacing w:line="360" w:lineRule="auto"/>
        <w:jc w:val="center"/>
        <w:rPr>
          <w:rFonts w:ascii="仿宋" w:hAnsi="仿宋" w:eastAsia="仿宋" w:cs="仿宋"/>
          <w:sz w:val="24"/>
        </w:rPr>
      </w:pPr>
    </w:p>
    <w:p w14:paraId="21DBC6A7">
      <w:pPr>
        <w:spacing w:line="360" w:lineRule="auto"/>
        <w:jc w:val="center"/>
        <w:rPr>
          <w:rFonts w:ascii="仿宋" w:hAnsi="仿宋" w:eastAsia="仿宋" w:cs="仿宋"/>
          <w:sz w:val="24"/>
        </w:rPr>
      </w:pPr>
      <w:bookmarkStart w:id="1" w:name="_GoBack"/>
      <w:bookmarkEnd w:id="1"/>
    </w:p>
    <w:p w14:paraId="62D07993">
      <w:pPr>
        <w:spacing w:line="360" w:lineRule="auto"/>
        <w:jc w:val="center"/>
        <w:rPr>
          <w:rFonts w:ascii="宋体" w:hAnsi="宋体" w:eastAsia="宋体" w:cs="宋体"/>
          <w:sz w:val="40"/>
          <w:szCs w:val="40"/>
        </w:rPr>
      </w:pPr>
    </w:p>
    <w:p w14:paraId="1A3DFE8C">
      <w:pPr>
        <w:spacing w:line="360" w:lineRule="auto"/>
        <w:ind w:left="0" w:firstLine="0"/>
        <w:jc w:val="center"/>
        <w:rPr>
          <w:rFonts w:ascii="宋体" w:hAnsi="宋体" w:eastAsia="宋体" w:cs="宋体"/>
          <w:sz w:val="40"/>
          <w:szCs w:val="40"/>
        </w:rPr>
      </w:pPr>
      <w:r>
        <w:rPr>
          <w:rFonts w:hint="eastAsia" w:ascii="宋体" w:hAnsi="宋体" w:eastAsia="宋体" w:cs="宋体"/>
          <w:sz w:val="40"/>
          <w:szCs w:val="40"/>
        </w:rPr>
        <w:t>中山市第三人民医院7x24小时信息安全运营服务项目采购需求书</w:t>
      </w:r>
    </w:p>
    <w:p w14:paraId="7866CFAB">
      <w:pPr>
        <w:pStyle w:val="11"/>
        <w:rPr>
          <w:rFonts w:ascii="仿宋" w:hAnsi="仿宋" w:eastAsia="仿宋"/>
        </w:rPr>
      </w:pPr>
      <w:r>
        <w:rPr>
          <w:rFonts w:hint="eastAsia" w:ascii="仿宋" w:hAnsi="仿宋" w:eastAsia="仿宋"/>
        </w:rPr>
        <w:br w:type="page"/>
      </w:r>
    </w:p>
    <w:p w14:paraId="2E7AD8EE">
      <w:pPr>
        <w:keepNext/>
        <w:keepLines/>
        <w:numPr>
          <w:ilvl w:val="0"/>
          <w:numId w:val="1"/>
        </w:numPr>
        <w:spacing w:after="0" w:line="360" w:lineRule="auto"/>
        <w:ind w:firstLine="420"/>
        <w:jc w:val="both"/>
        <w:outlineLvl w:val="0"/>
        <w:rPr>
          <w:rFonts w:ascii="仿宋" w:hAnsi="仿宋" w:eastAsia="仿宋" w:cs="仿宋"/>
          <w:b/>
          <w:bCs/>
          <w:kern w:val="44"/>
          <w:sz w:val="24"/>
        </w:rPr>
      </w:pPr>
      <w:r>
        <w:rPr>
          <w:rFonts w:hint="eastAsia" w:ascii="仿宋" w:hAnsi="仿宋" w:eastAsia="仿宋" w:cs="仿宋"/>
          <w:b/>
          <w:bCs/>
          <w:kern w:val="44"/>
          <w:sz w:val="24"/>
        </w:rPr>
        <w:t>项目背景</w:t>
      </w:r>
    </w:p>
    <w:p w14:paraId="440C7363">
      <w:pPr>
        <w:pStyle w:val="11"/>
        <w:spacing w:after="0" w:line="360" w:lineRule="auto"/>
        <w:ind w:firstLine="420" w:firstLineChars="200"/>
        <w:rPr>
          <w:rFonts w:ascii="宋体" w:hAnsi="宋体" w:eastAsia="宋体" w:cs="宋体"/>
          <w:kern w:val="44"/>
          <w:sz w:val="21"/>
          <w:szCs w:val="21"/>
        </w:rPr>
      </w:pPr>
      <w:r>
        <w:rPr>
          <w:rFonts w:hint="eastAsia" w:ascii="宋体" w:hAnsi="宋体" w:eastAsia="宋体" w:cs="宋体"/>
          <w:kern w:val="44"/>
          <w:sz w:val="21"/>
          <w:szCs w:val="21"/>
        </w:rPr>
        <w:t>随着信息技术飞速发展，信息化与网络化已成为社会经济运行的重要基础支撑，网络安全工作也随之上升至国家战略层面。在医疗健康领域，医院信息化建设持续深化，信息系统已成为医院日常运营的核心技术支撑。尤其在医药卫生体制改革不断推进的背景下，医院业务场景逐步从院内延伸至院外，网络环境由封闭转向开放，医院信息系统面临的安全风险与挑战愈发严峻</w:t>
      </w:r>
    </w:p>
    <w:p w14:paraId="31F1103B">
      <w:pPr>
        <w:pStyle w:val="11"/>
        <w:spacing w:after="0" w:line="360" w:lineRule="auto"/>
        <w:ind w:firstLine="420" w:firstLineChars="200"/>
        <w:rPr>
          <w:rFonts w:ascii="宋体" w:hAnsi="宋体" w:eastAsia="宋体" w:cs="宋体"/>
          <w:kern w:val="44"/>
          <w:sz w:val="21"/>
          <w:szCs w:val="21"/>
        </w:rPr>
      </w:pPr>
      <w:r>
        <w:rPr>
          <w:rFonts w:hint="eastAsia" w:ascii="宋体" w:hAnsi="宋体" w:eastAsia="宋体" w:cs="宋体"/>
          <w:kern w:val="44"/>
          <w:sz w:val="21"/>
          <w:szCs w:val="21"/>
        </w:rPr>
        <w:t>在业务连续性保障方面，勒索攻击、非法挖矿、数据泄露等安全威胁持续加剧，一旦发生安全事件，将直接影响医院诊疗秩序，网络安全保障责任重大。在医疗数据安全方面，行业数据安全形势日趋严峻，患者隐私信息保护、医疗数据完整性防护等工作亟需进一步强化。</w:t>
      </w:r>
    </w:p>
    <w:p w14:paraId="6307E52F">
      <w:pPr>
        <w:pStyle w:val="11"/>
        <w:spacing w:after="0" w:line="360" w:lineRule="auto"/>
        <w:ind w:firstLine="420" w:firstLineChars="200"/>
        <w:rPr>
          <w:rFonts w:ascii="宋体" w:hAnsi="宋体" w:eastAsia="宋体" w:cs="宋体"/>
          <w:kern w:val="44"/>
          <w:sz w:val="21"/>
          <w:szCs w:val="21"/>
        </w:rPr>
      </w:pPr>
      <w:r>
        <w:rPr>
          <w:rFonts w:hint="eastAsia" w:ascii="宋体" w:hAnsi="宋体" w:eastAsia="宋体" w:cs="宋体"/>
          <w:kern w:val="44"/>
          <w:sz w:val="21"/>
          <w:szCs w:val="21"/>
        </w:rPr>
        <w:t>与此同时，行业合规监管要求持续收紧，医院面临的网络安全合规与监管压力显著提升。自《网络安全法》施行以来，国家卫生健康委相继出台《全国医院信息化建设标准与规范（试行）》《关于促进“互联网+医疗健康”发展的意见》《国家健康医疗大数据标准、安全和服务管理办法（试行）》《全国基层医疗卫生机构信息化建设标准与规范（试行）》《关于落实卫生健康行业网络信息与数据安全责任的通知》以及《中华人民共和国基本医疗卫生与健康促进法》等一系列政策文件，全面部署推进医疗行业网络安全体系建设，并持续开展医院网络安全常态化检查，通过“以查促建、以查促管、以查促改、以查促防”，倒逼医院提升网络安全防护与管理水平。</w:t>
      </w:r>
    </w:p>
    <w:p w14:paraId="0E192F5D">
      <w:pPr>
        <w:pStyle w:val="11"/>
        <w:spacing w:after="0" w:line="360" w:lineRule="auto"/>
        <w:ind w:firstLine="420" w:firstLineChars="200"/>
        <w:rPr>
          <w:rFonts w:ascii="宋体" w:hAnsi="宋体" w:eastAsia="宋体" w:cs="宋体"/>
          <w:kern w:val="44"/>
          <w:sz w:val="21"/>
          <w:szCs w:val="21"/>
        </w:rPr>
      </w:pPr>
      <w:r>
        <w:rPr>
          <w:rFonts w:hint="eastAsia" w:ascii="宋体" w:hAnsi="宋体" w:eastAsia="宋体" w:cs="宋体"/>
          <w:kern w:val="44"/>
          <w:sz w:val="21"/>
          <w:szCs w:val="21"/>
        </w:rPr>
        <w:t>当前外部网络安全环境日趋复杂，攻防不对称态势愈发突出，勒索病毒等新型攻击手段持续迭代，各类黑客攻击、未授权入侵行为频发，国内每年均有多家医院因遭受网络攻击引发安全事件，严重影响业务运行与数据安全。而我院现有技术人员日常需承担大量基础运维工作，精力多用于保障信息系统基础可用，难以投入充足时间开展常态化安全隐患排查、漏洞跟踪修复、安全策略优化等专业安全运营工作。受限于专业人力、技术资源不足，在资产管控、漏洞管理、策略运维、威胁监测、事件处置等环节均难以达到预期管控效果。</w:t>
      </w:r>
    </w:p>
    <w:p w14:paraId="4F0A0FFB">
      <w:pPr>
        <w:pStyle w:val="11"/>
        <w:spacing w:after="0" w:line="360" w:lineRule="auto"/>
        <w:ind w:firstLine="420" w:firstLineChars="200"/>
        <w:rPr>
          <w:rFonts w:ascii="宋体" w:hAnsi="宋体" w:eastAsia="宋体" w:cs="宋体"/>
          <w:kern w:val="44"/>
          <w:sz w:val="21"/>
          <w:szCs w:val="21"/>
        </w:rPr>
      </w:pPr>
      <w:r>
        <w:rPr>
          <w:rFonts w:hint="eastAsia" w:ascii="宋体" w:hAnsi="宋体" w:eastAsia="宋体" w:cs="宋体"/>
          <w:kern w:val="44"/>
          <w:sz w:val="21"/>
          <w:szCs w:val="21"/>
        </w:rPr>
        <w:t>为有效降低信息系统安全隐患被非法利用的风险，在发生安全事件时能够实现快速响应与处置，切实保障医院信息系统、医疗数据与核心业务持续安全稳定运行，亟需引入专业的信息安全托管服务团队，协助我院开展常态化、专业化的安全运营工作。</w:t>
      </w:r>
    </w:p>
    <w:p w14:paraId="07D9CB8E">
      <w:pPr>
        <w:keepNext/>
        <w:keepLines/>
        <w:numPr>
          <w:ilvl w:val="0"/>
          <w:numId w:val="1"/>
        </w:numPr>
        <w:spacing w:after="0" w:line="360" w:lineRule="auto"/>
        <w:ind w:firstLine="420"/>
        <w:jc w:val="both"/>
        <w:outlineLvl w:val="0"/>
        <w:rPr>
          <w:rFonts w:ascii="宋体" w:hAnsi="宋体" w:eastAsia="宋体" w:cs="宋体"/>
          <w:b/>
          <w:bCs/>
          <w:sz w:val="24"/>
        </w:rPr>
      </w:pPr>
      <w:r>
        <w:rPr>
          <w:rFonts w:hint="eastAsia" w:ascii="宋体" w:hAnsi="宋体" w:eastAsia="宋体" w:cs="宋体"/>
          <w:b/>
          <w:bCs/>
          <w:kern w:val="44"/>
          <w:sz w:val="24"/>
        </w:rPr>
        <w:t>需求说明</w:t>
      </w:r>
    </w:p>
    <w:p w14:paraId="19BAD890">
      <w:pPr>
        <w:pStyle w:val="11"/>
        <w:spacing w:line="360" w:lineRule="auto"/>
        <w:ind w:firstLine="420"/>
        <w:rPr>
          <w:rFonts w:ascii="宋体" w:hAnsi="宋体" w:eastAsia="宋体" w:cs="宋体"/>
          <w:kern w:val="44"/>
          <w:sz w:val="21"/>
          <w:szCs w:val="21"/>
        </w:rPr>
      </w:pPr>
      <w:r>
        <w:rPr>
          <w:rFonts w:hint="eastAsia" w:ascii="宋体" w:hAnsi="宋体" w:eastAsia="宋体" w:cs="宋体"/>
          <w:kern w:val="44"/>
          <w:sz w:val="21"/>
          <w:szCs w:val="21"/>
        </w:rPr>
        <w:t>本次项目需我院针对院内核心业务系统提供为期两年的安全运营服务。为确保安全服务的有效性和可落地性，供应商所提供的安全运营服务需具备一套完善的安全服务解决方案。服务中提供一个可视化的安全运营平台，将我院现有的安全设备进行纳管接入，提供综合分析的能力。能够让我院7*24小时，实时观察到医院的网络安全现状。在安全可视化的前提下，提供专属的安全服务团队，能够7*24小时通过在线协同的方式，为我院提供业务的安全监测，通报预警，以及安全事件的跟踪闭环。并定期为我院提供网络安全报告，以及安全能力的培训赋能。</w:t>
      </w:r>
    </w:p>
    <w:p w14:paraId="7C6925FD">
      <w:pPr>
        <w:numPr>
          <w:ilvl w:val="0"/>
          <w:numId w:val="1"/>
        </w:numPr>
        <w:ind w:firstLine="420"/>
        <w:rPr>
          <w:rFonts w:ascii="宋体" w:hAnsi="宋体" w:eastAsia="宋体" w:cs="宋体"/>
          <w:b/>
          <w:bCs/>
          <w:kern w:val="44"/>
          <w:sz w:val="24"/>
        </w:rPr>
      </w:pPr>
      <w:r>
        <w:rPr>
          <w:rFonts w:hint="eastAsia" w:ascii="宋体" w:hAnsi="宋体" w:eastAsia="宋体" w:cs="宋体"/>
          <w:b/>
          <w:bCs/>
          <w:kern w:val="44"/>
          <w:sz w:val="24"/>
        </w:rPr>
        <w:t>采购清单</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1218"/>
        <w:gridCol w:w="2277"/>
      </w:tblGrid>
      <w:tr w14:paraId="4C15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14:paraId="2671B6DB">
            <w:pPr>
              <w:jc w:val="center"/>
              <w:rPr>
                <w:rFonts w:ascii="宋体" w:hAnsi="宋体" w:eastAsia="宋体" w:cs="宋体"/>
                <w:sz w:val="24"/>
              </w:rPr>
            </w:pPr>
            <w:r>
              <w:rPr>
                <w:rFonts w:hint="eastAsia" w:ascii="宋体" w:hAnsi="宋体" w:eastAsia="宋体" w:cs="宋体"/>
                <w:kern w:val="44"/>
                <w:sz w:val="24"/>
              </w:rPr>
              <w:t>序号</w:t>
            </w:r>
          </w:p>
        </w:tc>
        <w:tc>
          <w:tcPr>
            <w:tcW w:w="1217" w:type="dxa"/>
            <w:vAlign w:val="center"/>
          </w:tcPr>
          <w:p w14:paraId="6D723357">
            <w:pPr>
              <w:jc w:val="center"/>
              <w:rPr>
                <w:rFonts w:ascii="宋体" w:hAnsi="宋体" w:eastAsia="宋体" w:cs="宋体"/>
                <w:sz w:val="24"/>
              </w:rPr>
            </w:pPr>
            <w:r>
              <w:rPr>
                <w:rFonts w:hint="eastAsia" w:ascii="宋体" w:hAnsi="宋体" w:eastAsia="宋体" w:cs="宋体"/>
                <w:kern w:val="44"/>
                <w:sz w:val="24"/>
              </w:rPr>
              <w:t>采购标的名称</w:t>
            </w:r>
          </w:p>
        </w:tc>
        <w:tc>
          <w:tcPr>
            <w:tcW w:w="1217" w:type="dxa"/>
            <w:vAlign w:val="center"/>
          </w:tcPr>
          <w:p w14:paraId="7D117F71">
            <w:pPr>
              <w:jc w:val="center"/>
              <w:rPr>
                <w:rFonts w:ascii="宋体" w:hAnsi="宋体" w:eastAsia="宋体" w:cs="宋体"/>
                <w:sz w:val="24"/>
              </w:rPr>
            </w:pPr>
            <w:r>
              <w:rPr>
                <w:rFonts w:hint="eastAsia" w:ascii="宋体" w:hAnsi="宋体" w:eastAsia="宋体" w:cs="宋体"/>
                <w:kern w:val="44"/>
                <w:sz w:val="24"/>
              </w:rPr>
              <w:t>数量</w:t>
            </w:r>
          </w:p>
        </w:tc>
        <w:tc>
          <w:tcPr>
            <w:tcW w:w="1217" w:type="dxa"/>
            <w:vAlign w:val="center"/>
          </w:tcPr>
          <w:p w14:paraId="027FB6E9">
            <w:pPr>
              <w:jc w:val="center"/>
              <w:rPr>
                <w:rFonts w:ascii="宋体" w:hAnsi="宋体" w:eastAsia="宋体" w:cs="宋体"/>
                <w:sz w:val="24"/>
              </w:rPr>
            </w:pPr>
            <w:r>
              <w:rPr>
                <w:rFonts w:hint="eastAsia" w:ascii="宋体" w:hAnsi="宋体" w:eastAsia="宋体" w:cs="宋体"/>
                <w:kern w:val="44"/>
                <w:sz w:val="24"/>
              </w:rPr>
              <w:t>单位</w:t>
            </w:r>
          </w:p>
        </w:tc>
        <w:tc>
          <w:tcPr>
            <w:tcW w:w="1218" w:type="dxa"/>
            <w:vAlign w:val="center"/>
          </w:tcPr>
          <w:p w14:paraId="67452076">
            <w:pPr>
              <w:jc w:val="center"/>
              <w:rPr>
                <w:rFonts w:ascii="宋体" w:hAnsi="宋体" w:eastAsia="宋体" w:cs="宋体"/>
                <w:sz w:val="24"/>
              </w:rPr>
            </w:pPr>
            <w:r>
              <w:rPr>
                <w:rFonts w:hint="eastAsia" w:ascii="宋体" w:hAnsi="宋体" w:eastAsia="宋体" w:cs="宋体"/>
                <w:kern w:val="44"/>
                <w:sz w:val="24"/>
              </w:rPr>
              <w:t>预算金额</w:t>
            </w:r>
          </w:p>
        </w:tc>
        <w:tc>
          <w:tcPr>
            <w:tcW w:w="2277" w:type="dxa"/>
            <w:vAlign w:val="center"/>
          </w:tcPr>
          <w:p w14:paraId="751F2A51">
            <w:pPr>
              <w:jc w:val="center"/>
              <w:rPr>
                <w:rFonts w:ascii="宋体" w:hAnsi="宋体" w:eastAsia="宋体" w:cs="宋体"/>
                <w:sz w:val="24"/>
              </w:rPr>
            </w:pPr>
            <w:r>
              <w:rPr>
                <w:rFonts w:hint="eastAsia" w:ascii="宋体" w:hAnsi="宋体" w:eastAsia="宋体" w:cs="宋体"/>
                <w:kern w:val="44"/>
                <w:sz w:val="24"/>
              </w:rPr>
              <w:t>备注</w:t>
            </w:r>
          </w:p>
        </w:tc>
      </w:tr>
      <w:tr w14:paraId="5505C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14:paraId="589E9F51">
            <w:pPr>
              <w:jc w:val="center"/>
              <w:rPr>
                <w:rFonts w:ascii="宋体" w:hAnsi="宋体" w:eastAsia="宋体" w:cs="宋体"/>
                <w:sz w:val="24"/>
              </w:rPr>
            </w:pPr>
            <w:r>
              <w:rPr>
                <w:rFonts w:hint="eastAsia" w:ascii="宋体" w:hAnsi="宋体" w:eastAsia="宋体" w:cs="宋体"/>
                <w:kern w:val="44"/>
                <w:sz w:val="24"/>
              </w:rPr>
              <w:t>1</w:t>
            </w:r>
          </w:p>
        </w:tc>
        <w:tc>
          <w:tcPr>
            <w:tcW w:w="1217" w:type="dxa"/>
            <w:vAlign w:val="center"/>
          </w:tcPr>
          <w:p w14:paraId="5B8ED248">
            <w:pPr>
              <w:rPr>
                <w:rFonts w:ascii="宋体" w:hAnsi="宋体" w:eastAsia="宋体" w:cs="宋体"/>
                <w:sz w:val="24"/>
              </w:rPr>
            </w:pPr>
            <w:r>
              <w:rPr>
                <w:rFonts w:hint="eastAsia" w:ascii="宋体" w:hAnsi="宋体" w:eastAsia="宋体" w:cs="宋体"/>
                <w:kern w:val="44"/>
                <w:sz w:val="24"/>
              </w:rPr>
              <w:t>7*24小时信息安全运营服务</w:t>
            </w:r>
          </w:p>
        </w:tc>
        <w:tc>
          <w:tcPr>
            <w:tcW w:w="1217" w:type="dxa"/>
            <w:vAlign w:val="center"/>
          </w:tcPr>
          <w:p w14:paraId="4E561033">
            <w:pPr>
              <w:jc w:val="center"/>
              <w:rPr>
                <w:rFonts w:ascii="宋体" w:hAnsi="宋体" w:eastAsia="宋体" w:cs="宋体"/>
                <w:sz w:val="24"/>
              </w:rPr>
            </w:pPr>
            <w:r>
              <w:rPr>
                <w:rFonts w:hint="eastAsia" w:ascii="宋体" w:hAnsi="宋体" w:eastAsia="宋体" w:cs="宋体"/>
                <w:kern w:val="44"/>
                <w:sz w:val="24"/>
              </w:rPr>
              <w:t>1</w:t>
            </w:r>
          </w:p>
        </w:tc>
        <w:tc>
          <w:tcPr>
            <w:tcW w:w="1217" w:type="dxa"/>
            <w:vAlign w:val="center"/>
          </w:tcPr>
          <w:p w14:paraId="0890153F">
            <w:pPr>
              <w:jc w:val="center"/>
              <w:rPr>
                <w:rFonts w:ascii="宋体" w:hAnsi="宋体" w:eastAsia="宋体" w:cs="宋体"/>
                <w:sz w:val="24"/>
              </w:rPr>
            </w:pPr>
            <w:r>
              <w:rPr>
                <w:rFonts w:hint="eastAsia" w:ascii="宋体" w:hAnsi="宋体" w:eastAsia="宋体" w:cs="宋体"/>
                <w:kern w:val="44"/>
                <w:sz w:val="24"/>
              </w:rPr>
              <w:t>项</w:t>
            </w:r>
          </w:p>
        </w:tc>
        <w:tc>
          <w:tcPr>
            <w:tcW w:w="1218" w:type="dxa"/>
            <w:vAlign w:val="center"/>
          </w:tcPr>
          <w:p w14:paraId="4188764D">
            <w:pPr>
              <w:jc w:val="center"/>
              <w:rPr>
                <w:rFonts w:ascii="宋体" w:hAnsi="宋体" w:eastAsia="宋体" w:cs="宋体"/>
                <w:sz w:val="24"/>
              </w:rPr>
            </w:pPr>
            <w:r>
              <w:rPr>
                <w:rFonts w:hint="eastAsia" w:ascii="宋体" w:hAnsi="宋体" w:eastAsia="宋体" w:cs="宋体"/>
                <w:kern w:val="44"/>
                <w:sz w:val="24"/>
              </w:rPr>
              <w:t>98000元（2年，1年49000元）</w:t>
            </w:r>
          </w:p>
        </w:tc>
        <w:tc>
          <w:tcPr>
            <w:tcW w:w="2277" w:type="dxa"/>
          </w:tcPr>
          <w:p w14:paraId="1E7DABB7">
            <w:pPr>
              <w:rPr>
                <w:rFonts w:ascii="宋体" w:hAnsi="宋体" w:eastAsia="宋体" w:cs="宋体"/>
                <w:sz w:val="24"/>
              </w:rPr>
            </w:pPr>
            <w:r>
              <w:rPr>
                <w:rFonts w:hint="eastAsia" w:ascii="宋体" w:hAnsi="宋体" w:eastAsia="宋体" w:cs="宋体"/>
                <w:kern w:val="44"/>
                <w:sz w:val="24"/>
              </w:rPr>
              <w:t>详细要求见技术指标部分</w:t>
            </w:r>
          </w:p>
        </w:tc>
      </w:tr>
    </w:tbl>
    <w:p w14:paraId="36B219A2">
      <w:pPr>
        <w:rPr>
          <w:rFonts w:ascii="宋体" w:hAnsi="宋体" w:eastAsia="宋体" w:cs="宋体"/>
          <w:sz w:val="24"/>
        </w:rPr>
      </w:pPr>
    </w:p>
    <w:p w14:paraId="5F4DD42A">
      <w:pPr>
        <w:keepNext/>
        <w:keepLines/>
        <w:numPr>
          <w:ilvl w:val="0"/>
          <w:numId w:val="1"/>
        </w:numPr>
        <w:spacing w:after="0" w:line="360" w:lineRule="auto"/>
        <w:ind w:firstLine="420"/>
        <w:jc w:val="both"/>
        <w:outlineLvl w:val="0"/>
        <w:rPr>
          <w:rFonts w:ascii="宋体" w:hAnsi="宋体" w:eastAsia="宋体" w:cs="宋体"/>
          <w:b/>
          <w:bCs/>
          <w:sz w:val="24"/>
        </w:rPr>
      </w:pPr>
      <w:r>
        <w:rPr>
          <w:rFonts w:hint="eastAsia" w:ascii="宋体" w:hAnsi="宋体" w:eastAsia="宋体" w:cs="宋体"/>
          <w:b/>
          <w:bCs/>
          <w:kern w:val="44"/>
          <w:sz w:val="24"/>
        </w:rPr>
        <w:t>技术指标</w:t>
      </w:r>
    </w:p>
    <w:tbl>
      <w:tblPr>
        <w:tblStyle w:val="17"/>
        <w:tblW w:w="47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7470"/>
      </w:tblGrid>
      <w:tr w14:paraId="23EB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0" w:type="pct"/>
            <w:vAlign w:val="center"/>
          </w:tcPr>
          <w:p w14:paraId="6203C472">
            <w:pPr>
              <w:pStyle w:val="11"/>
              <w:jc w:val="center"/>
              <w:rPr>
                <w:rFonts w:ascii="宋体" w:hAnsi="宋体" w:eastAsia="宋体" w:cs="宋体"/>
                <w:b/>
                <w:bCs/>
                <w:sz w:val="21"/>
                <w:szCs w:val="21"/>
              </w:rPr>
            </w:pPr>
            <w:r>
              <w:rPr>
                <w:rFonts w:hint="eastAsia" w:ascii="宋体" w:hAnsi="宋体" w:eastAsia="宋体" w:cs="宋体"/>
                <w:b/>
                <w:bCs/>
                <w:sz w:val="21"/>
                <w:szCs w:val="21"/>
              </w:rPr>
              <w:t>序号</w:t>
            </w:r>
          </w:p>
        </w:tc>
        <w:tc>
          <w:tcPr>
            <w:tcW w:w="4569" w:type="pct"/>
            <w:vAlign w:val="center"/>
          </w:tcPr>
          <w:p w14:paraId="13A4463A">
            <w:pPr>
              <w:pStyle w:val="11"/>
              <w:jc w:val="center"/>
              <w:rPr>
                <w:rFonts w:ascii="宋体" w:hAnsi="宋体" w:eastAsia="宋体" w:cs="宋体"/>
                <w:b/>
                <w:bCs/>
                <w:sz w:val="21"/>
                <w:szCs w:val="21"/>
              </w:rPr>
            </w:pPr>
            <w:r>
              <w:rPr>
                <w:rFonts w:hint="eastAsia" w:ascii="宋体" w:hAnsi="宋体" w:eastAsia="宋体" w:cs="宋体"/>
                <w:b/>
                <w:bCs/>
                <w:sz w:val="21"/>
                <w:szCs w:val="21"/>
              </w:rPr>
              <w:t>内容及要求</w:t>
            </w:r>
          </w:p>
        </w:tc>
      </w:tr>
      <w:tr w14:paraId="4DC6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0" w:type="pct"/>
            <w:vAlign w:val="center"/>
          </w:tcPr>
          <w:p w14:paraId="32373232">
            <w:pPr>
              <w:pStyle w:val="11"/>
              <w:numPr>
                <w:ilvl w:val="0"/>
                <w:numId w:val="2"/>
              </w:numPr>
              <w:jc w:val="center"/>
              <w:rPr>
                <w:rFonts w:ascii="宋体" w:hAnsi="宋体" w:eastAsia="宋体" w:cs="宋体"/>
                <w:sz w:val="21"/>
                <w:szCs w:val="21"/>
              </w:rPr>
            </w:pPr>
          </w:p>
        </w:tc>
        <w:tc>
          <w:tcPr>
            <w:tcW w:w="4569" w:type="pct"/>
            <w:vAlign w:val="center"/>
          </w:tcPr>
          <w:p w14:paraId="1FC80EA3">
            <w:pPr>
              <w:pStyle w:val="11"/>
              <w:rPr>
                <w:rFonts w:ascii="宋体" w:hAnsi="宋体" w:eastAsia="宋体" w:cs="宋体"/>
                <w:sz w:val="21"/>
                <w:szCs w:val="21"/>
              </w:rPr>
            </w:pPr>
            <w:r>
              <w:rPr>
                <w:rFonts w:hint="eastAsia" w:ascii="宋体" w:hAnsi="宋体" w:eastAsia="宋体" w:cs="宋体"/>
                <w:sz w:val="21"/>
                <w:szCs w:val="21"/>
              </w:rPr>
              <w:t>本次所采购安全服务，要求</w:t>
            </w:r>
            <w:r>
              <w:rPr>
                <w:rFonts w:hint="eastAsia" w:ascii="宋体" w:hAnsi="宋体" w:eastAsia="宋体" w:cs="宋体"/>
                <w:sz w:val="21"/>
                <w:szCs w:val="21"/>
                <w:lang w:eastAsia="zh-CN"/>
              </w:rPr>
              <w:t>成交</w:t>
            </w:r>
            <w:r>
              <w:rPr>
                <w:rFonts w:hint="eastAsia" w:ascii="宋体" w:hAnsi="宋体" w:eastAsia="宋体" w:cs="宋体"/>
                <w:sz w:val="21"/>
                <w:szCs w:val="21"/>
              </w:rPr>
              <w:t>人为医院核心业务系统（10个）提供7*24小时的远程安全托管服务，服务内容包含但不限于：安全评估，脆弱性管理，威胁管理等，服务周期为签订合同后2年。请</w:t>
            </w:r>
            <w:r>
              <w:rPr>
                <w:rFonts w:hint="eastAsia" w:ascii="宋体" w:hAnsi="宋体" w:eastAsia="宋体" w:cs="宋体"/>
                <w:sz w:val="21"/>
                <w:szCs w:val="21"/>
                <w:lang w:eastAsia="zh-CN"/>
              </w:rPr>
              <w:t>成交</w:t>
            </w:r>
            <w:r>
              <w:rPr>
                <w:rFonts w:hint="eastAsia" w:ascii="宋体" w:hAnsi="宋体" w:eastAsia="宋体" w:cs="宋体"/>
                <w:sz w:val="21"/>
                <w:szCs w:val="21"/>
              </w:rPr>
              <w:t>人对服务要求进行承诺，提供承诺函并盖公章。</w:t>
            </w:r>
          </w:p>
        </w:tc>
      </w:tr>
      <w:tr w14:paraId="7B1E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430" w:type="pct"/>
            <w:vAlign w:val="center"/>
          </w:tcPr>
          <w:p w14:paraId="62C67ACF">
            <w:pPr>
              <w:pStyle w:val="11"/>
              <w:numPr>
                <w:ilvl w:val="0"/>
                <w:numId w:val="2"/>
              </w:numPr>
              <w:jc w:val="center"/>
              <w:rPr>
                <w:rFonts w:ascii="宋体" w:hAnsi="宋体" w:eastAsia="宋体" w:cs="宋体"/>
                <w:sz w:val="21"/>
                <w:szCs w:val="21"/>
              </w:rPr>
            </w:pPr>
          </w:p>
        </w:tc>
        <w:tc>
          <w:tcPr>
            <w:tcW w:w="4569" w:type="pct"/>
            <w:vAlign w:val="center"/>
          </w:tcPr>
          <w:p w14:paraId="4FE71497">
            <w:pPr>
              <w:pStyle w:val="11"/>
              <w:rPr>
                <w:rFonts w:ascii="宋体" w:hAnsi="宋体" w:eastAsia="宋体" w:cs="宋体"/>
                <w:sz w:val="21"/>
                <w:szCs w:val="21"/>
              </w:rPr>
            </w:pPr>
            <w:r>
              <w:rPr>
                <w:rFonts w:hint="eastAsia" w:ascii="宋体" w:hAnsi="宋体" w:eastAsia="宋体" w:cs="宋体"/>
                <w:sz w:val="21"/>
                <w:szCs w:val="21"/>
                <w:lang w:eastAsia="zh-CN"/>
              </w:rPr>
              <w:t>成交人</w:t>
            </w:r>
            <w:r>
              <w:rPr>
                <w:rFonts w:hint="eastAsia" w:ascii="宋体" w:hAnsi="宋体" w:eastAsia="宋体" w:cs="宋体"/>
                <w:sz w:val="21"/>
                <w:szCs w:val="21"/>
              </w:rPr>
              <w:t>应使用安全工具对</w:t>
            </w:r>
            <w:r>
              <w:rPr>
                <w:rFonts w:hint="eastAsia" w:ascii="宋体" w:hAnsi="宋体" w:eastAsia="宋体" w:cs="宋体"/>
                <w:sz w:val="21"/>
                <w:szCs w:val="21"/>
                <w:lang w:eastAsia="zh-CN"/>
              </w:rPr>
              <w:t>采购人</w:t>
            </w:r>
            <w:r>
              <w:rPr>
                <w:rFonts w:hint="eastAsia" w:ascii="宋体" w:hAnsi="宋体" w:eastAsia="宋体" w:cs="宋体"/>
                <w:sz w:val="21"/>
                <w:szCs w:val="21"/>
              </w:rPr>
              <w:t>服务资产开展互联网暴露面探测，以梳理资产面向互联网的开放情况，快速发现违规暴露在互联网中的资产及存在的风险并进行处置，实现对暴露面资产可管可控，降低暴露面资产的风险。</w:t>
            </w:r>
            <w:r>
              <w:rPr>
                <w:rFonts w:hint="eastAsia" w:ascii="宋体" w:hAnsi="宋体" w:eastAsia="宋体" w:cs="宋体"/>
                <w:sz w:val="21"/>
                <w:szCs w:val="21"/>
                <w:lang w:eastAsia="zh-CN"/>
              </w:rPr>
              <w:t>成交人</w:t>
            </w:r>
            <w:r>
              <w:rPr>
                <w:rFonts w:hint="eastAsia" w:ascii="宋体" w:hAnsi="宋体" w:eastAsia="宋体" w:cs="宋体"/>
                <w:sz w:val="21"/>
                <w:szCs w:val="21"/>
              </w:rPr>
              <w:t>应具备互联网暴露面梳理的服务工具，该工具应当支持全资产和精确资产两种模式暴露资产收集模式，收集到的暴露面信息至少包括域名、域名标题、IP地址、开放端口、资产指纹、网站截图、移动端暴露面，并且能采集对应暴露资产的访问截图向</w:t>
            </w:r>
            <w:r>
              <w:rPr>
                <w:rFonts w:hint="eastAsia" w:ascii="宋体" w:hAnsi="宋体" w:eastAsia="宋体" w:cs="宋体"/>
                <w:sz w:val="21"/>
                <w:szCs w:val="21"/>
                <w:lang w:eastAsia="zh-CN"/>
              </w:rPr>
              <w:t>采购人</w:t>
            </w:r>
            <w:r>
              <w:rPr>
                <w:rFonts w:hint="eastAsia" w:ascii="宋体" w:hAnsi="宋体" w:eastAsia="宋体" w:cs="宋体"/>
                <w:sz w:val="21"/>
                <w:szCs w:val="21"/>
              </w:rPr>
              <w:t>举证，及对应暴露资产存在的漏洞。提供服务工具具备以上暴露面梳理能力的证明</w:t>
            </w:r>
            <w:r>
              <w:rPr>
                <w:rFonts w:ascii="Segoe UI" w:hAnsi="Segoe UI" w:eastAsia="Segoe UI" w:cs="Segoe UI"/>
                <w:i w:val="0"/>
                <w:iCs w:val="0"/>
                <w:caps w:val="0"/>
                <w:spacing w:val="8"/>
                <w:sz w:val="21"/>
                <w:szCs w:val="21"/>
                <w:shd w:val="clear" w:fill="FFFFFF"/>
              </w:rPr>
              <w:t>材料（</w:t>
            </w:r>
            <w:r>
              <w:rPr>
                <w:rFonts w:hint="eastAsia" w:ascii="Segoe UI" w:hAnsi="Segoe UI" w:eastAsia="宋体" w:cs="Segoe UI"/>
                <w:i w:val="0"/>
                <w:iCs w:val="0"/>
                <w:caps w:val="0"/>
                <w:spacing w:val="8"/>
                <w:sz w:val="21"/>
                <w:szCs w:val="21"/>
                <w:shd w:val="clear" w:fill="FFFFFF"/>
                <w:lang w:val="en-US" w:eastAsia="zh-CN"/>
              </w:rPr>
              <w:t>如</w:t>
            </w:r>
            <w:r>
              <w:rPr>
                <w:rFonts w:ascii="Segoe UI" w:hAnsi="Segoe UI" w:eastAsia="Segoe UI" w:cs="Segoe UI"/>
                <w:i w:val="0"/>
                <w:iCs w:val="0"/>
                <w:caps w:val="0"/>
                <w:spacing w:val="8"/>
                <w:sz w:val="21"/>
                <w:szCs w:val="21"/>
                <w:shd w:val="clear" w:fill="FFFFFF"/>
              </w:rPr>
              <w:t>截图、检测报告或第三方认证）</w:t>
            </w:r>
            <w:r>
              <w:rPr>
                <w:rFonts w:hint="eastAsia" w:ascii="宋体" w:hAnsi="宋体" w:eastAsia="宋体" w:cs="宋体"/>
                <w:sz w:val="21"/>
                <w:szCs w:val="21"/>
              </w:rPr>
              <w:t>；</w:t>
            </w:r>
          </w:p>
        </w:tc>
      </w:tr>
      <w:tr w14:paraId="0689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0" w:type="pct"/>
            <w:vAlign w:val="center"/>
          </w:tcPr>
          <w:p w14:paraId="51A2D6B8">
            <w:pPr>
              <w:pStyle w:val="11"/>
              <w:numPr>
                <w:ilvl w:val="0"/>
                <w:numId w:val="2"/>
              </w:numPr>
              <w:jc w:val="center"/>
              <w:rPr>
                <w:rFonts w:ascii="宋体" w:hAnsi="宋体" w:eastAsia="宋体" w:cs="宋体"/>
                <w:sz w:val="21"/>
                <w:szCs w:val="21"/>
              </w:rPr>
            </w:pPr>
          </w:p>
        </w:tc>
        <w:tc>
          <w:tcPr>
            <w:tcW w:w="4569" w:type="pct"/>
            <w:vAlign w:val="center"/>
          </w:tcPr>
          <w:p w14:paraId="06DC93BE">
            <w:pPr>
              <w:pStyle w:val="11"/>
              <w:rPr>
                <w:rFonts w:ascii="宋体" w:hAnsi="宋体" w:eastAsia="宋体" w:cs="宋体"/>
                <w:sz w:val="21"/>
                <w:szCs w:val="21"/>
              </w:rPr>
            </w:pPr>
            <w:r>
              <w:rPr>
                <w:rFonts w:hint="eastAsia" w:ascii="宋体" w:hAnsi="宋体" w:eastAsia="宋体" w:cs="宋体"/>
                <w:sz w:val="21"/>
                <w:szCs w:val="21"/>
              </w:rPr>
              <w:t>高危可利用漏洞防护：针对服务范围内资产扫描到的高危可利用漏洞，</w:t>
            </w:r>
            <w:r>
              <w:rPr>
                <w:rFonts w:hint="eastAsia" w:ascii="宋体" w:hAnsi="宋体" w:eastAsia="宋体" w:cs="宋体"/>
                <w:sz w:val="21"/>
                <w:szCs w:val="21"/>
                <w:lang w:eastAsia="zh-CN"/>
              </w:rPr>
              <w:t>成交人</w:t>
            </w:r>
            <w:r>
              <w:rPr>
                <w:rFonts w:hint="eastAsia" w:ascii="宋体" w:hAnsi="宋体" w:eastAsia="宋体" w:cs="宋体"/>
                <w:sz w:val="21"/>
                <w:szCs w:val="21"/>
              </w:rPr>
              <w:t>应当为</w:t>
            </w:r>
            <w:r>
              <w:rPr>
                <w:rFonts w:hint="eastAsia" w:ascii="宋体" w:hAnsi="宋体" w:eastAsia="宋体" w:cs="宋体"/>
                <w:sz w:val="21"/>
                <w:szCs w:val="21"/>
                <w:lang w:eastAsia="zh-CN"/>
              </w:rPr>
              <w:t>采购人</w:t>
            </w:r>
            <w:r>
              <w:rPr>
                <w:rFonts w:hint="eastAsia" w:ascii="宋体" w:hAnsi="宋体" w:eastAsia="宋体" w:cs="宋体"/>
                <w:sz w:val="21"/>
                <w:szCs w:val="21"/>
              </w:rPr>
              <w:t>做好每一个高危可利用漏洞的防护工作，包括但不限于为</w:t>
            </w:r>
            <w:r>
              <w:rPr>
                <w:rFonts w:hint="eastAsia" w:ascii="宋体" w:hAnsi="宋体" w:eastAsia="宋体" w:cs="宋体"/>
                <w:sz w:val="21"/>
                <w:szCs w:val="21"/>
                <w:lang w:eastAsia="zh-CN"/>
              </w:rPr>
              <w:t>采购人</w:t>
            </w:r>
            <w:r>
              <w:rPr>
                <w:rFonts w:hint="eastAsia" w:ascii="宋体" w:hAnsi="宋体" w:eastAsia="宋体" w:cs="宋体"/>
                <w:sz w:val="21"/>
                <w:szCs w:val="21"/>
              </w:rPr>
              <w:t>提供漏洞修复方案和安全设备防护策略，以及帮助</w:t>
            </w:r>
            <w:r>
              <w:rPr>
                <w:rFonts w:hint="eastAsia" w:ascii="宋体" w:hAnsi="宋体" w:eastAsia="宋体" w:cs="宋体"/>
                <w:sz w:val="21"/>
                <w:szCs w:val="21"/>
                <w:lang w:eastAsia="zh-CN"/>
              </w:rPr>
              <w:t>采购人</w:t>
            </w:r>
            <w:r>
              <w:rPr>
                <w:rFonts w:hint="eastAsia" w:ascii="宋体" w:hAnsi="宋体" w:eastAsia="宋体" w:cs="宋体"/>
                <w:sz w:val="21"/>
                <w:szCs w:val="21"/>
              </w:rPr>
              <w:t>配置防护规则，保证</w:t>
            </w:r>
            <w:r>
              <w:rPr>
                <w:rFonts w:hint="eastAsia" w:ascii="宋体" w:hAnsi="宋体" w:eastAsia="宋体" w:cs="宋体"/>
                <w:sz w:val="21"/>
                <w:szCs w:val="21"/>
                <w:lang w:eastAsia="zh-CN"/>
              </w:rPr>
              <w:t>采购人</w:t>
            </w:r>
            <w:r>
              <w:rPr>
                <w:rFonts w:hint="eastAsia" w:ascii="宋体" w:hAnsi="宋体" w:eastAsia="宋体" w:cs="宋体"/>
                <w:sz w:val="21"/>
                <w:szCs w:val="21"/>
              </w:rPr>
              <w:t>不因此出现重大事件和损失；</w:t>
            </w:r>
          </w:p>
        </w:tc>
      </w:tr>
      <w:tr w14:paraId="345D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0" w:type="pct"/>
            <w:vAlign w:val="center"/>
          </w:tcPr>
          <w:p w14:paraId="39EBF7A0">
            <w:pPr>
              <w:pStyle w:val="11"/>
              <w:numPr>
                <w:ilvl w:val="0"/>
                <w:numId w:val="2"/>
              </w:numPr>
              <w:jc w:val="center"/>
              <w:rPr>
                <w:rFonts w:ascii="宋体" w:hAnsi="宋体" w:eastAsia="宋体" w:cs="宋体"/>
                <w:sz w:val="21"/>
                <w:szCs w:val="21"/>
              </w:rPr>
            </w:pPr>
          </w:p>
        </w:tc>
        <w:tc>
          <w:tcPr>
            <w:tcW w:w="4569" w:type="pct"/>
            <w:vAlign w:val="center"/>
          </w:tcPr>
          <w:p w14:paraId="3D51F572">
            <w:pPr>
              <w:pStyle w:val="11"/>
              <w:rPr>
                <w:rFonts w:ascii="宋体" w:hAnsi="宋体" w:eastAsia="宋体" w:cs="宋体"/>
                <w:sz w:val="21"/>
                <w:szCs w:val="21"/>
              </w:rPr>
            </w:pPr>
            <w:r>
              <w:rPr>
                <w:rFonts w:hint="eastAsia" w:ascii="宋体" w:hAnsi="宋体" w:eastAsia="宋体" w:cs="宋体"/>
                <w:sz w:val="21"/>
                <w:szCs w:val="21"/>
              </w:rPr>
              <w:t>要求</w:t>
            </w:r>
            <w:r>
              <w:rPr>
                <w:rFonts w:hint="eastAsia" w:ascii="宋体" w:hAnsi="宋体" w:eastAsia="宋体" w:cs="宋体"/>
                <w:sz w:val="21"/>
                <w:szCs w:val="21"/>
                <w:lang w:eastAsia="zh-CN"/>
              </w:rPr>
              <w:t>采购人</w:t>
            </w:r>
            <w:r>
              <w:rPr>
                <w:rFonts w:hint="eastAsia" w:ascii="宋体" w:hAnsi="宋体" w:eastAsia="宋体" w:cs="宋体"/>
                <w:sz w:val="21"/>
                <w:szCs w:val="21"/>
              </w:rPr>
              <w:t>可以对服务范围内发现的每一个高危可利用漏洞提供防护规则，并且承诺防护率达到99%，提供承诺函并盖公章；</w:t>
            </w:r>
          </w:p>
        </w:tc>
      </w:tr>
      <w:tr w14:paraId="33A1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0" w:type="pct"/>
            <w:vAlign w:val="center"/>
          </w:tcPr>
          <w:p w14:paraId="00F8115C">
            <w:pPr>
              <w:pStyle w:val="11"/>
              <w:numPr>
                <w:ilvl w:val="0"/>
                <w:numId w:val="2"/>
              </w:numPr>
              <w:jc w:val="center"/>
              <w:rPr>
                <w:rFonts w:ascii="宋体" w:hAnsi="宋体" w:eastAsia="宋体" w:cs="宋体"/>
                <w:sz w:val="21"/>
                <w:szCs w:val="21"/>
              </w:rPr>
            </w:pPr>
          </w:p>
        </w:tc>
        <w:tc>
          <w:tcPr>
            <w:tcW w:w="4569" w:type="pct"/>
            <w:vAlign w:val="center"/>
          </w:tcPr>
          <w:p w14:paraId="1AFBC404">
            <w:pPr>
              <w:pStyle w:val="11"/>
              <w:rPr>
                <w:rFonts w:ascii="宋体" w:hAnsi="宋体" w:eastAsia="宋体" w:cs="宋体"/>
                <w:sz w:val="21"/>
                <w:szCs w:val="21"/>
              </w:rPr>
            </w:pPr>
            <w:r>
              <w:rPr>
                <w:rFonts w:hint="eastAsia" w:ascii="宋体" w:hAnsi="宋体" w:eastAsia="宋体" w:cs="宋体"/>
                <w:sz w:val="21"/>
                <w:szCs w:val="21"/>
              </w:rPr>
              <w:t>提供服务平台具备高危可利用漏洞防护规则的证明，并且支持对扫描到的高危可利用漏洞能够自动匹配漏洞防护规则；</w:t>
            </w:r>
          </w:p>
        </w:tc>
      </w:tr>
      <w:tr w14:paraId="7711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jc w:val="center"/>
        </w:trPr>
        <w:tc>
          <w:tcPr>
            <w:tcW w:w="430" w:type="pct"/>
            <w:vAlign w:val="center"/>
          </w:tcPr>
          <w:p w14:paraId="27B534BB">
            <w:pPr>
              <w:pStyle w:val="11"/>
              <w:numPr>
                <w:ilvl w:val="0"/>
                <w:numId w:val="2"/>
              </w:numPr>
              <w:jc w:val="center"/>
              <w:rPr>
                <w:rFonts w:ascii="宋体" w:hAnsi="宋体" w:eastAsia="宋体" w:cs="宋体"/>
                <w:sz w:val="21"/>
                <w:szCs w:val="21"/>
              </w:rPr>
            </w:pPr>
          </w:p>
        </w:tc>
        <w:tc>
          <w:tcPr>
            <w:tcW w:w="4569" w:type="pct"/>
            <w:vAlign w:val="center"/>
          </w:tcPr>
          <w:p w14:paraId="36558AFF">
            <w:pPr>
              <w:pStyle w:val="11"/>
              <w:rPr>
                <w:rFonts w:ascii="宋体" w:hAnsi="宋体" w:eastAsia="宋体" w:cs="宋体"/>
                <w:sz w:val="21"/>
                <w:szCs w:val="21"/>
              </w:rPr>
            </w:pPr>
            <w:r>
              <w:rPr>
                <w:rFonts w:hint="eastAsia" w:ascii="宋体" w:hAnsi="宋体" w:eastAsia="宋体" w:cs="宋体"/>
                <w:sz w:val="21"/>
                <w:szCs w:val="21"/>
              </w:rPr>
              <w:t>7*24小时威胁鉴定：</w:t>
            </w:r>
            <w:r>
              <w:rPr>
                <w:rFonts w:hint="eastAsia" w:ascii="宋体" w:hAnsi="宋体" w:eastAsia="宋体" w:cs="宋体"/>
                <w:sz w:val="21"/>
                <w:szCs w:val="21"/>
                <w:lang w:eastAsia="zh-CN"/>
              </w:rPr>
              <w:t>成交人</w:t>
            </w:r>
            <w:r>
              <w:rPr>
                <w:rFonts w:hint="eastAsia" w:ascii="宋体" w:hAnsi="宋体" w:eastAsia="宋体" w:cs="宋体"/>
                <w:sz w:val="21"/>
                <w:szCs w:val="21"/>
              </w:rPr>
              <w:t>应当具备云端检测和分析平台，通过采集</w:t>
            </w:r>
            <w:r>
              <w:rPr>
                <w:rFonts w:hint="eastAsia" w:ascii="宋体" w:hAnsi="宋体" w:eastAsia="宋体" w:cs="宋体"/>
                <w:sz w:val="21"/>
                <w:szCs w:val="21"/>
                <w:lang w:eastAsia="zh-CN"/>
              </w:rPr>
              <w:t>采购人</w:t>
            </w:r>
            <w:r>
              <w:rPr>
                <w:rFonts w:hint="eastAsia" w:ascii="宋体" w:hAnsi="宋体" w:eastAsia="宋体" w:cs="宋体"/>
                <w:sz w:val="21"/>
                <w:szCs w:val="21"/>
              </w:rPr>
              <w:t>安全设备和工具的安全告警和安全日志，结合大数据分析、人工智能等技术手段，为</w:t>
            </w:r>
            <w:r>
              <w:rPr>
                <w:rFonts w:hint="eastAsia" w:ascii="宋体" w:hAnsi="宋体" w:eastAsia="宋体" w:cs="宋体"/>
                <w:sz w:val="21"/>
                <w:szCs w:val="21"/>
                <w:lang w:eastAsia="zh-CN"/>
              </w:rPr>
              <w:t>采购人</w:t>
            </w:r>
            <w:r>
              <w:rPr>
                <w:rFonts w:hint="eastAsia" w:ascii="宋体" w:hAnsi="宋体" w:eastAsia="宋体" w:cs="宋体"/>
                <w:sz w:val="21"/>
                <w:szCs w:val="21"/>
              </w:rPr>
              <w:t>提供7*24小时持续不间断的安全威胁分析鉴定，同时在用户界面进行展示；分析研判包括但不限于对脆弱性、异常流量、攻击日志、病毒日志等数据进行采集和实时分析研判，支持将同一资产的多个告警进行聚合分析发现各类安全事件并生成工单，并在告警详情中展示告警的基本信息，涉及的业务信息、攻击趋势、威胁详情、攻击原理、处置建议等内容，并支持根据客户情况提供备注；提供云端服务平台告警审核功能界面截图，举证一个告警聚合分析的例子和一个告警详情展示具备上述能力</w:t>
            </w:r>
            <w:r>
              <w:rPr>
                <w:rFonts w:ascii="Segoe UI" w:hAnsi="Segoe UI" w:eastAsia="Segoe UI" w:cs="Segoe UI"/>
                <w:i w:val="0"/>
                <w:iCs w:val="0"/>
                <w:caps w:val="0"/>
                <w:spacing w:val="8"/>
                <w:sz w:val="21"/>
                <w:szCs w:val="21"/>
                <w:shd w:val="clear" w:fill="FFFFFF"/>
              </w:rPr>
              <w:t>材料（</w:t>
            </w:r>
            <w:r>
              <w:rPr>
                <w:rFonts w:hint="eastAsia" w:ascii="Segoe UI" w:hAnsi="Segoe UI" w:eastAsia="宋体" w:cs="Segoe UI"/>
                <w:i w:val="0"/>
                <w:iCs w:val="0"/>
                <w:caps w:val="0"/>
                <w:spacing w:val="8"/>
                <w:sz w:val="21"/>
                <w:szCs w:val="21"/>
                <w:shd w:val="clear" w:fill="FFFFFF"/>
                <w:lang w:val="en-US" w:eastAsia="zh-CN"/>
              </w:rPr>
              <w:t>如</w:t>
            </w:r>
            <w:r>
              <w:rPr>
                <w:rFonts w:ascii="Segoe UI" w:hAnsi="Segoe UI" w:eastAsia="Segoe UI" w:cs="Segoe UI"/>
                <w:i w:val="0"/>
                <w:iCs w:val="0"/>
                <w:caps w:val="0"/>
                <w:spacing w:val="8"/>
                <w:sz w:val="21"/>
                <w:szCs w:val="21"/>
                <w:shd w:val="clear" w:fill="FFFFFF"/>
              </w:rPr>
              <w:t>截图、检测报告或第三方认证）</w:t>
            </w:r>
            <w:r>
              <w:rPr>
                <w:rFonts w:hint="eastAsia" w:ascii="宋体" w:hAnsi="宋体" w:eastAsia="宋体" w:cs="宋体"/>
                <w:sz w:val="21"/>
                <w:szCs w:val="21"/>
              </w:rPr>
              <w:t>；</w:t>
            </w:r>
          </w:p>
        </w:tc>
      </w:tr>
      <w:tr w14:paraId="41DB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430" w:type="pct"/>
            <w:vAlign w:val="center"/>
          </w:tcPr>
          <w:p w14:paraId="11B82E1E">
            <w:pPr>
              <w:pStyle w:val="11"/>
              <w:numPr>
                <w:ilvl w:val="0"/>
                <w:numId w:val="2"/>
              </w:numPr>
              <w:jc w:val="center"/>
              <w:rPr>
                <w:rFonts w:ascii="宋体" w:hAnsi="宋体" w:eastAsia="宋体" w:cs="宋体"/>
                <w:sz w:val="21"/>
                <w:szCs w:val="21"/>
              </w:rPr>
            </w:pPr>
          </w:p>
        </w:tc>
        <w:tc>
          <w:tcPr>
            <w:tcW w:w="4569" w:type="pct"/>
            <w:vAlign w:val="center"/>
          </w:tcPr>
          <w:p w14:paraId="7B546969">
            <w:pPr>
              <w:pStyle w:val="11"/>
              <w:rPr>
                <w:rFonts w:ascii="宋体" w:hAnsi="宋体" w:eastAsia="宋体" w:cs="宋体"/>
                <w:sz w:val="21"/>
                <w:szCs w:val="21"/>
              </w:rPr>
            </w:pPr>
            <w:r>
              <w:rPr>
                <w:rFonts w:hint="eastAsia" w:ascii="宋体" w:hAnsi="宋体" w:eastAsia="宋体" w:cs="宋体"/>
                <w:sz w:val="21"/>
                <w:szCs w:val="21"/>
              </w:rPr>
              <w:t>个性化的检测规则定制：为了保证安全监测的准确率和服务质量，</w:t>
            </w:r>
            <w:r>
              <w:rPr>
                <w:rFonts w:hint="eastAsia" w:ascii="宋体" w:hAnsi="宋体" w:eastAsia="宋体" w:cs="宋体"/>
                <w:sz w:val="21"/>
                <w:szCs w:val="21"/>
                <w:lang w:eastAsia="zh-CN"/>
              </w:rPr>
              <w:t>成交人</w:t>
            </w:r>
            <w:r>
              <w:rPr>
                <w:rFonts w:hint="eastAsia" w:ascii="宋体" w:hAnsi="宋体" w:eastAsia="宋体" w:cs="宋体"/>
                <w:sz w:val="21"/>
                <w:szCs w:val="21"/>
              </w:rPr>
              <w:t>应当支持为</w:t>
            </w:r>
            <w:r>
              <w:rPr>
                <w:rFonts w:hint="eastAsia" w:ascii="宋体" w:hAnsi="宋体" w:eastAsia="宋体" w:cs="宋体"/>
                <w:sz w:val="21"/>
                <w:szCs w:val="21"/>
                <w:lang w:eastAsia="zh-CN"/>
              </w:rPr>
              <w:t>采购人</w:t>
            </w:r>
            <w:r>
              <w:rPr>
                <w:rFonts w:hint="eastAsia" w:ascii="宋体" w:hAnsi="宋体" w:eastAsia="宋体" w:cs="宋体"/>
                <w:sz w:val="21"/>
                <w:szCs w:val="21"/>
              </w:rPr>
              <w:t>自定义配置安全规则，以满足日益复杂的安全趋势所带来的安全监测需求；</w:t>
            </w:r>
          </w:p>
        </w:tc>
      </w:tr>
      <w:tr w14:paraId="3E30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30" w:type="pct"/>
            <w:vAlign w:val="center"/>
          </w:tcPr>
          <w:p w14:paraId="07E19EE2">
            <w:pPr>
              <w:pStyle w:val="11"/>
              <w:numPr>
                <w:ilvl w:val="0"/>
                <w:numId w:val="2"/>
              </w:numPr>
              <w:jc w:val="center"/>
              <w:rPr>
                <w:rFonts w:ascii="宋体" w:hAnsi="宋体" w:eastAsia="宋体" w:cs="宋体"/>
                <w:sz w:val="21"/>
                <w:szCs w:val="21"/>
              </w:rPr>
            </w:pPr>
          </w:p>
        </w:tc>
        <w:tc>
          <w:tcPr>
            <w:tcW w:w="4569" w:type="pct"/>
            <w:vAlign w:val="center"/>
          </w:tcPr>
          <w:p w14:paraId="01D05F49">
            <w:pPr>
              <w:pStyle w:val="11"/>
              <w:rPr>
                <w:rFonts w:ascii="宋体" w:hAnsi="宋体" w:eastAsia="宋体" w:cs="宋体"/>
                <w:sz w:val="21"/>
                <w:szCs w:val="21"/>
              </w:rPr>
            </w:pPr>
            <w:r>
              <w:rPr>
                <w:rFonts w:hint="eastAsia" w:ascii="宋体" w:hAnsi="宋体" w:eastAsia="宋体" w:cs="宋体"/>
                <w:sz w:val="21"/>
                <w:szCs w:val="21"/>
              </w:rPr>
              <w:t>为了应对日益严峻的安全风险，要求</w:t>
            </w:r>
            <w:r>
              <w:rPr>
                <w:rFonts w:hint="eastAsia" w:ascii="宋体" w:hAnsi="宋体" w:eastAsia="宋体" w:cs="宋体"/>
                <w:sz w:val="21"/>
                <w:szCs w:val="21"/>
                <w:lang w:eastAsia="zh-CN"/>
              </w:rPr>
              <w:t>成交人</w:t>
            </w:r>
            <w:r>
              <w:rPr>
                <w:rFonts w:hint="eastAsia" w:ascii="宋体" w:hAnsi="宋体" w:eastAsia="宋体" w:cs="宋体"/>
                <w:sz w:val="21"/>
                <w:szCs w:val="21"/>
              </w:rPr>
              <w:t>承诺支持为用户服务范围内资产定制不少于3个的个性化安全检测规则，提供承诺函并盖公章；</w:t>
            </w:r>
          </w:p>
        </w:tc>
      </w:tr>
      <w:tr w14:paraId="225A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430" w:type="pct"/>
            <w:vAlign w:val="center"/>
          </w:tcPr>
          <w:p w14:paraId="3559BCBF">
            <w:pPr>
              <w:pStyle w:val="11"/>
              <w:numPr>
                <w:ilvl w:val="0"/>
                <w:numId w:val="2"/>
              </w:numPr>
              <w:jc w:val="center"/>
              <w:rPr>
                <w:rFonts w:ascii="宋体" w:hAnsi="宋体" w:eastAsia="宋体" w:cs="宋体"/>
                <w:sz w:val="21"/>
                <w:szCs w:val="21"/>
              </w:rPr>
            </w:pPr>
          </w:p>
        </w:tc>
        <w:tc>
          <w:tcPr>
            <w:tcW w:w="4569" w:type="pct"/>
            <w:vAlign w:val="center"/>
          </w:tcPr>
          <w:p w14:paraId="3596E5FE">
            <w:pPr>
              <w:pStyle w:val="11"/>
              <w:rPr>
                <w:rFonts w:ascii="宋体" w:hAnsi="宋体" w:eastAsia="宋体" w:cs="宋体"/>
                <w:sz w:val="21"/>
                <w:szCs w:val="21"/>
              </w:rPr>
            </w:pPr>
            <w:r>
              <w:rPr>
                <w:rFonts w:hint="eastAsia" w:ascii="宋体" w:hAnsi="宋体" w:eastAsia="宋体" w:cs="宋体"/>
                <w:sz w:val="21"/>
                <w:szCs w:val="21"/>
              </w:rPr>
              <w:t>提供</w:t>
            </w:r>
            <w:r>
              <w:rPr>
                <w:rFonts w:hint="eastAsia" w:ascii="宋体" w:hAnsi="宋体" w:eastAsia="宋体" w:cs="宋体"/>
                <w:sz w:val="21"/>
                <w:szCs w:val="21"/>
                <w:lang w:eastAsia="zh-CN"/>
              </w:rPr>
              <w:t>成交人</w:t>
            </w:r>
            <w:r>
              <w:rPr>
                <w:rFonts w:hint="eastAsia" w:ascii="宋体" w:hAnsi="宋体" w:eastAsia="宋体" w:cs="宋体"/>
                <w:sz w:val="21"/>
                <w:szCs w:val="21"/>
              </w:rPr>
              <w:t>服务平台支持为用户自定义配置安全规则的截图；</w:t>
            </w:r>
          </w:p>
        </w:tc>
      </w:tr>
      <w:tr w14:paraId="4621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430" w:type="pct"/>
            <w:vAlign w:val="center"/>
          </w:tcPr>
          <w:p w14:paraId="5D3909C3">
            <w:pPr>
              <w:pStyle w:val="11"/>
              <w:numPr>
                <w:ilvl w:val="0"/>
                <w:numId w:val="2"/>
              </w:numPr>
              <w:jc w:val="center"/>
              <w:rPr>
                <w:rFonts w:ascii="宋体" w:hAnsi="宋体" w:eastAsia="宋体" w:cs="宋体"/>
                <w:sz w:val="21"/>
                <w:szCs w:val="21"/>
              </w:rPr>
            </w:pPr>
          </w:p>
        </w:tc>
        <w:tc>
          <w:tcPr>
            <w:tcW w:w="4569" w:type="pct"/>
            <w:vAlign w:val="center"/>
          </w:tcPr>
          <w:p w14:paraId="60E1D77F">
            <w:pPr>
              <w:pStyle w:val="11"/>
              <w:rPr>
                <w:rFonts w:ascii="宋体" w:hAnsi="宋体" w:eastAsia="宋体" w:cs="宋体"/>
                <w:sz w:val="21"/>
                <w:szCs w:val="21"/>
              </w:rPr>
            </w:pPr>
            <w:r>
              <w:rPr>
                <w:rFonts w:hint="eastAsia" w:ascii="宋体" w:hAnsi="宋体" w:eastAsia="宋体" w:cs="宋体"/>
                <w:sz w:val="21"/>
                <w:szCs w:val="21"/>
              </w:rPr>
              <w:t>受影响资产排查与加固：安全专家应当结合威胁情报主动排查是否对服务资产造成影响并通知用户，及时协助进行安全加固。</w:t>
            </w:r>
          </w:p>
        </w:tc>
      </w:tr>
      <w:tr w14:paraId="468B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430" w:type="pct"/>
            <w:vAlign w:val="center"/>
          </w:tcPr>
          <w:p w14:paraId="4B3E7FB6">
            <w:pPr>
              <w:pStyle w:val="11"/>
              <w:numPr>
                <w:ilvl w:val="0"/>
                <w:numId w:val="2"/>
              </w:numPr>
              <w:jc w:val="center"/>
              <w:rPr>
                <w:rFonts w:ascii="宋体" w:hAnsi="宋体" w:eastAsia="宋体" w:cs="宋体"/>
                <w:sz w:val="21"/>
                <w:szCs w:val="21"/>
              </w:rPr>
            </w:pPr>
          </w:p>
        </w:tc>
        <w:tc>
          <w:tcPr>
            <w:tcW w:w="4569" w:type="pct"/>
            <w:vAlign w:val="center"/>
          </w:tcPr>
          <w:p w14:paraId="46DAF740">
            <w:pPr>
              <w:pStyle w:val="11"/>
              <w:rPr>
                <w:rFonts w:ascii="宋体" w:hAnsi="宋体" w:eastAsia="宋体" w:cs="宋体"/>
                <w:sz w:val="21"/>
                <w:szCs w:val="21"/>
              </w:rPr>
            </w:pPr>
            <w:r>
              <w:rPr>
                <w:rFonts w:hint="eastAsia" w:ascii="宋体" w:hAnsi="宋体" w:eastAsia="宋体" w:cs="宋体"/>
                <w:sz w:val="21"/>
                <w:szCs w:val="21"/>
              </w:rPr>
              <w:t>提供一个威胁情报的安全通报工单，工单内容包含威胁情报的基本信息和推送信息以及跟进记录，要求明确说明关联资产信息的排查情况；</w:t>
            </w:r>
          </w:p>
        </w:tc>
      </w:tr>
      <w:tr w14:paraId="7C86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0" w:type="pct"/>
            <w:vAlign w:val="center"/>
          </w:tcPr>
          <w:p w14:paraId="446B34FD">
            <w:pPr>
              <w:pStyle w:val="11"/>
              <w:numPr>
                <w:ilvl w:val="0"/>
                <w:numId w:val="2"/>
              </w:numPr>
              <w:jc w:val="center"/>
              <w:rPr>
                <w:rFonts w:ascii="宋体" w:hAnsi="宋体" w:eastAsia="宋体" w:cs="宋体"/>
                <w:sz w:val="21"/>
                <w:szCs w:val="21"/>
              </w:rPr>
            </w:pPr>
          </w:p>
        </w:tc>
        <w:tc>
          <w:tcPr>
            <w:tcW w:w="4569" w:type="pct"/>
            <w:vAlign w:val="center"/>
          </w:tcPr>
          <w:p w14:paraId="2BFC860B">
            <w:pPr>
              <w:pStyle w:val="11"/>
              <w:rPr>
                <w:rFonts w:ascii="宋体" w:hAnsi="宋体" w:eastAsia="宋体" w:cs="宋体"/>
                <w:sz w:val="21"/>
                <w:szCs w:val="21"/>
              </w:rPr>
            </w:pPr>
            <w:r>
              <w:rPr>
                <w:rFonts w:hint="eastAsia" w:ascii="宋体" w:hAnsi="宋体" w:eastAsia="宋体" w:cs="宋体"/>
                <w:sz w:val="21"/>
                <w:szCs w:val="21"/>
              </w:rPr>
              <w:t>安全策略检查：</w:t>
            </w:r>
            <w:r>
              <w:rPr>
                <w:rFonts w:hint="eastAsia" w:ascii="宋体" w:hAnsi="宋体" w:eastAsia="宋体" w:cs="宋体"/>
                <w:sz w:val="21"/>
                <w:szCs w:val="21"/>
                <w:lang w:eastAsia="zh-CN"/>
              </w:rPr>
              <w:t>成交人</w:t>
            </w:r>
            <w:r>
              <w:rPr>
                <w:rFonts w:hint="eastAsia" w:ascii="宋体" w:hAnsi="宋体" w:eastAsia="宋体" w:cs="宋体"/>
                <w:sz w:val="21"/>
                <w:szCs w:val="21"/>
              </w:rPr>
              <w:t>安全专家每月对</w:t>
            </w:r>
            <w:r>
              <w:rPr>
                <w:rFonts w:hint="eastAsia" w:ascii="宋体" w:hAnsi="宋体" w:eastAsia="宋体" w:cs="宋体"/>
                <w:sz w:val="21"/>
                <w:szCs w:val="21"/>
                <w:lang w:eastAsia="zh-CN"/>
              </w:rPr>
              <w:t>采购人</w:t>
            </w:r>
            <w:r>
              <w:rPr>
                <w:rFonts w:hint="eastAsia" w:ascii="宋体" w:hAnsi="宋体" w:eastAsia="宋体" w:cs="宋体"/>
                <w:sz w:val="21"/>
                <w:szCs w:val="21"/>
              </w:rPr>
              <w:t>的安全设备的防护策略进行检查，确保安全设备上的安全策略始终处于最优水平，针对威胁能起到最好的防护效果。</w:t>
            </w:r>
            <w:r>
              <w:rPr>
                <w:rFonts w:hint="eastAsia" w:ascii="宋体" w:hAnsi="宋体" w:eastAsia="宋体" w:cs="宋体"/>
                <w:sz w:val="21"/>
                <w:szCs w:val="21"/>
                <w:lang w:eastAsia="zh-CN"/>
              </w:rPr>
              <w:t>成交人</w:t>
            </w:r>
            <w:r>
              <w:rPr>
                <w:rFonts w:hint="eastAsia" w:ascii="宋体" w:hAnsi="宋体" w:eastAsia="宋体" w:cs="宋体"/>
                <w:sz w:val="21"/>
                <w:szCs w:val="21"/>
              </w:rPr>
              <w:t>云端服务平台应当具备丰富的策略检查工具（支持常见安全策略的合规性检查工具），支持排查安全设备防护策略配置的合理性。提供</w:t>
            </w:r>
            <w:r>
              <w:rPr>
                <w:rFonts w:hint="eastAsia" w:ascii="宋体" w:hAnsi="宋体" w:eastAsia="宋体" w:cs="宋体"/>
                <w:sz w:val="21"/>
                <w:szCs w:val="21"/>
                <w:lang w:eastAsia="zh-CN"/>
              </w:rPr>
              <w:t>成交人</w:t>
            </w:r>
            <w:r>
              <w:rPr>
                <w:rFonts w:hint="eastAsia" w:ascii="宋体" w:hAnsi="宋体" w:eastAsia="宋体" w:cs="宋体"/>
                <w:sz w:val="21"/>
                <w:szCs w:val="21"/>
              </w:rPr>
              <w:t>云端服务平台策略检查工具的</w:t>
            </w:r>
            <w:r>
              <w:rPr>
                <w:rFonts w:ascii="Segoe UI" w:hAnsi="Segoe UI" w:eastAsia="Segoe UI" w:cs="Segoe UI"/>
                <w:i w:val="0"/>
                <w:iCs w:val="0"/>
                <w:caps w:val="0"/>
                <w:spacing w:val="8"/>
                <w:sz w:val="21"/>
                <w:szCs w:val="21"/>
                <w:shd w:val="clear" w:fill="FFFFFF"/>
              </w:rPr>
              <w:t>材料（</w:t>
            </w:r>
            <w:r>
              <w:rPr>
                <w:rFonts w:hint="eastAsia" w:ascii="Segoe UI" w:hAnsi="Segoe UI" w:eastAsia="宋体" w:cs="Segoe UI"/>
                <w:i w:val="0"/>
                <w:iCs w:val="0"/>
                <w:caps w:val="0"/>
                <w:spacing w:val="8"/>
                <w:sz w:val="21"/>
                <w:szCs w:val="21"/>
                <w:shd w:val="clear" w:fill="FFFFFF"/>
                <w:lang w:val="en-US" w:eastAsia="zh-CN"/>
              </w:rPr>
              <w:t>如</w:t>
            </w:r>
            <w:r>
              <w:rPr>
                <w:rFonts w:ascii="Segoe UI" w:hAnsi="Segoe UI" w:eastAsia="Segoe UI" w:cs="Segoe UI"/>
                <w:i w:val="0"/>
                <w:iCs w:val="0"/>
                <w:caps w:val="0"/>
                <w:spacing w:val="8"/>
                <w:sz w:val="21"/>
                <w:szCs w:val="21"/>
                <w:shd w:val="clear" w:fill="FFFFFF"/>
              </w:rPr>
              <w:t>截图、检测报告或第三方认证）</w:t>
            </w:r>
            <w:r>
              <w:rPr>
                <w:rFonts w:hint="eastAsia" w:ascii="宋体" w:hAnsi="宋体" w:eastAsia="宋体" w:cs="宋体"/>
                <w:sz w:val="21"/>
                <w:szCs w:val="21"/>
              </w:rPr>
              <w:t>；</w:t>
            </w:r>
          </w:p>
        </w:tc>
      </w:tr>
      <w:tr w14:paraId="1FD6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0" w:type="pct"/>
            <w:vAlign w:val="center"/>
          </w:tcPr>
          <w:p w14:paraId="56113F6B">
            <w:pPr>
              <w:pStyle w:val="11"/>
              <w:numPr>
                <w:ilvl w:val="0"/>
                <w:numId w:val="2"/>
              </w:numPr>
              <w:jc w:val="center"/>
              <w:rPr>
                <w:rFonts w:ascii="宋体" w:hAnsi="宋体" w:eastAsia="宋体" w:cs="宋体"/>
                <w:sz w:val="21"/>
                <w:szCs w:val="21"/>
              </w:rPr>
            </w:pPr>
          </w:p>
        </w:tc>
        <w:tc>
          <w:tcPr>
            <w:tcW w:w="4569" w:type="pct"/>
            <w:vAlign w:val="center"/>
          </w:tcPr>
          <w:p w14:paraId="6807F162">
            <w:pPr>
              <w:pStyle w:val="11"/>
              <w:rPr>
                <w:rFonts w:ascii="宋体" w:hAnsi="宋体" w:eastAsia="宋体" w:cs="宋体"/>
                <w:sz w:val="21"/>
                <w:szCs w:val="21"/>
              </w:rPr>
            </w:pPr>
            <w:r>
              <w:rPr>
                <w:rFonts w:hint="eastAsia" w:ascii="宋体" w:hAnsi="宋体" w:eastAsia="宋体" w:cs="宋体"/>
                <w:sz w:val="21"/>
                <w:szCs w:val="21"/>
              </w:rPr>
              <w:t>为了保障服务质量和加强</w:t>
            </w:r>
            <w:r>
              <w:rPr>
                <w:rFonts w:hint="eastAsia" w:ascii="宋体" w:hAnsi="宋体" w:eastAsia="宋体" w:cs="宋体"/>
                <w:sz w:val="21"/>
                <w:szCs w:val="21"/>
                <w:lang w:eastAsia="zh-CN"/>
              </w:rPr>
              <w:t>成交人</w:t>
            </w:r>
            <w:r>
              <w:rPr>
                <w:rFonts w:hint="eastAsia" w:ascii="宋体" w:hAnsi="宋体" w:eastAsia="宋体" w:cs="宋体"/>
                <w:sz w:val="21"/>
                <w:szCs w:val="21"/>
              </w:rPr>
              <w:t>与</w:t>
            </w:r>
            <w:r>
              <w:rPr>
                <w:rFonts w:hint="eastAsia" w:ascii="宋体" w:hAnsi="宋体" w:eastAsia="宋体" w:cs="宋体"/>
                <w:sz w:val="21"/>
                <w:szCs w:val="21"/>
                <w:lang w:eastAsia="zh-CN"/>
              </w:rPr>
              <w:t>采购人</w:t>
            </w:r>
            <w:r>
              <w:rPr>
                <w:rFonts w:hint="eastAsia" w:ascii="宋体" w:hAnsi="宋体" w:eastAsia="宋体" w:cs="宋体"/>
                <w:sz w:val="21"/>
                <w:szCs w:val="21"/>
              </w:rPr>
              <w:t>的沟通，</w:t>
            </w:r>
            <w:r>
              <w:rPr>
                <w:rFonts w:hint="eastAsia" w:ascii="宋体" w:hAnsi="宋体" w:eastAsia="宋体" w:cs="宋体"/>
                <w:sz w:val="21"/>
                <w:szCs w:val="21"/>
                <w:lang w:eastAsia="zh-CN"/>
              </w:rPr>
              <w:t>成交人</w:t>
            </w:r>
            <w:r>
              <w:rPr>
                <w:rFonts w:hint="eastAsia" w:ascii="宋体" w:hAnsi="宋体" w:eastAsia="宋体" w:cs="宋体"/>
                <w:sz w:val="21"/>
                <w:szCs w:val="21"/>
              </w:rPr>
              <w:t>应当承诺为</w:t>
            </w:r>
            <w:r>
              <w:rPr>
                <w:rFonts w:hint="eastAsia" w:ascii="宋体" w:hAnsi="宋体" w:eastAsia="宋体" w:cs="宋体"/>
                <w:sz w:val="21"/>
                <w:szCs w:val="21"/>
                <w:lang w:eastAsia="zh-CN"/>
              </w:rPr>
              <w:t>采购人</w:t>
            </w:r>
            <w:r>
              <w:rPr>
                <w:rFonts w:hint="eastAsia" w:ascii="宋体" w:hAnsi="宋体" w:eastAsia="宋体" w:cs="宋体"/>
                <w:sz w:val="21"/>
                <w:szCs w:val="21"/>
              </w:rPr>
              <w:t>配置一名经验丰富的安全专家作为专属服务经理，并且实时响应</w:t>
            </w:r>
            <w:r>
              <w:rPr>
                <w:rFonts w:hint="eastAsia" w:ascii="宋体" w:hAnsi="宋体" w:eastAsia="宋体" w:cs="宋体"/>
                <w:sz w:val="21"/>
                <w:szCs w:val="21"/>
                <w:lang w:eastAsia="zh-CN"/>
              </w:rPr>
              <w:t>成交人</w:t>
            </w:r>
            <w:r>
              <w:rPr>
                <w:rFonts w:hint="eastAsia" w:ascii="宋体" w:hAnsi="宋体" w:eastAsia="宋体" w:cs="宋体"/>
                <w:sz w:val="21"/>
                <w:szCs w:val="21"/>
              </w:rPr>
              <w:t>咨询的网络安全相关问题；</w:t>
            </w:r>
          </w:p>
        </w:tc>
      </w:tr>
      <w:tr w14:paraId="4037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0" w:type="pct"/>
            <w:vAlign w:val="center"/>
          </w:tcPr>
          <w:p w14:paraId="2DC62E67">
            <w:pPr>
              <w:pStyle w:val="11"/>
              <w:numPr>
                <w:ilvl w:val="0"/>
                <w:numId w:val="2"/>
              </w:numPr>
              <w:jc w:val="center"/>
              <w:rPr>
                <w:rFonts w:ascii="宋体" w:hAnsi="宋体" w:eastAsia="宋体" w:cs="宋体"/>
                <w:sz w:val="21"/>
                <w:szCs w:val="21"/>
              </w:rPr>
            </w:pPr>
          </w:p>
        </w:tc>
        <w:tc>
          <w:tcPr>
            <w:tcW w:w="4569" w:type="pct"/>
            <w:vAlign w:val="center"/>
          </w:tcPr>
          <w:p w14:paraId="22241916">
            <w:pPr>
              <w:pStyle w:val="11"/>
              <w:rPr>
                <w:rFonts w:ascii="宋体" w:hAnsi="宋体" w:eastAsia="宋体" w:cs="宋体"/>
                <w:sz w:val="21"/>
                <w:szCs w:val="21"/>
              </w:rPr>
            </w:pPr>
            <w:r>
              <w:rPr>
                <w:rFonts w:hint="eastAsia" w:ascii="宋体" w:hAnsi="宋体" w:eastAsia="宋体" w:cs="宋体"/>
                <w:sz w:val="21"/>
                <w:szCs w:val="21"/>
                <w:lang w:eastAsia="zh-CN"/>
              </w:rPr>
              <w:t>成交人</w:t>
            </w:r>
            <w:r>
              <w:rPr>
                <w:rFonts w:hint="eastAsia" w:ascii="宋体" w:hAnsi="宋体" w:eastAsia="宋体" w:cs="宋体"/>
                <w:sz w:val="21"/>
                <w:szCs w:val="21"/>
              </w:rPr>
              <w:t>需为</w:t>
            </w:r>
            <w:r>
              <w:rPr>
                <w:rFonts w:hint="eastAsia" w:ascii="宋体" w:hAnsi="宋体" w:eastAsia="宋体" w:cs="宋体"/>
                <w:sz w:val="21"/>
                <w:szCs w:val="21"/>
                <w:lang w:eastAsia="zh-CN"/>
              </w:rPr>
              <w:t>采购人</w:t>
            </w:r>
            <w:r>
              <w:rPr>
                <w:rFonts w:hint="eastAsia" w:ascii="宋体" w:hAnsi="宋体" w:eastAsia="宋体" w:cs="宋体"/>
                <w:sz w:val="21"/>
                <w:szCs w:val="21"/>
              </w:rPr>
              <w:t>提供的服务成果展示门户（或用户Portal）应具备服务质量可视化展示，</w:t>
            </w:r>
            <w:r>
              <w:rPr>
                <w:rFonts w:hint="eastAsia" w:ascii="宋体" w:hAnsi="宋体" w:eastAsia="宋体" w:cs="宋体"/>
                <w:sz w:val="21"/>
                <w:szCs w:val="21"/>
                <w:lang w:eastAsia="zh-CN"/>
              </w:rPr>
              <w:t>成交人</w:t>
            </w:r>
            <w:r>
              <w:rPr>
                <w:rFonts w:hint="eastAsia" w:ascii="宋体" w:hAnsi="宋体" w:eastAsia="宋体" w:cs="宋体"/>
                <w:sz w:val="21"/>
                <w:szCs w:val="21"/>
              </w:rPr>
              <w:t>能通过可视化的数据，清晰的了解安全专家的服务水平，至少包括脆弱性闭环率、脆弱性平均响应时长、脆弱性平均闭环时长、威胁闭环率、威胁平均响应时长、威胁平均闭环时长、事件闭环率、事件平均闭环时长，以验证</w:t>
            </w:r>
            <w:r>
              <w:rPr>
                <w:rFonts w:hint="eastAsia" w:ascii="宋体" w:hAnsi="宋体" w:eastAsia="宋体" w:cs="宋体"/>
                <w:sz w:val="21"/>
                <w:szCs w:val="21"/>
                <w:lang w:eastAsia="zh-CN"/>
              </w:rPr>
              <w:t>成交人</w:t>
            </w:r>
            <w:r>
              <w:rPr>
                <w:rFonts w:hint="eastAsia" w:ascii="宋体" w:hAnsi="宋体" w:eastAsia="宋体" w:cs="宋体"/>
                <w:sz w:val="21"/>
                <w:szCs w:val="21"/>
              </w:rPr>
              <w:t>所承诺的服务指标（或称为服务SLA）。提供服务成果展示门户中服务质量监控相关的截图证明；</w:t>
            </w:r>
          </w:p>
        </w:tc>
      </w:tr>
      <w:tr w14:paraId="021C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0" w:type="pct"/>
            <w:vAlign w:val="center"/>
          </w:tcPr>
          <w:p w14:paraId="424C7237">
            <w:pPr>
              <w:pStyle w:val="11"/>
              <w:numPr>
                <w:ilvl w:val="0"/>
                <w:numId w:val="2"/>
              </w:numPr>
              <w:jc w:val="center"/>
              <w:rPr>
                <w:rFonts w:ascii="宋体" w:hAnsi="宋体" w:eastAsia="宋体" w:cs="宋体"/>
                <w:sz w:val="21"/>
                <w:szCs w:val="21"/>
              </w:rPr>
            </w:pPr>
          </w:p>
        </w:tc>
        <w:tc>
          <w:tcPr>
            <w:tcW w:w="4569" w:type="pct"/>
            <w:vAlign w:val="center"/>
          </w:tcPr>
          <w:p w14:paraId="6F018CAA">
            <w:pPr>
              <w:pStyle w:val="11"/>
              <w:rPr>
                <w:rFonts w:ascii="宋体" w:hAnsi="宋体" w:eastAsia="宋体" w:cs="宋体"/>
                <w:sz w:val="21"/>
                <w:szCs w:val="21"/>
              </w:rPr>
            </w:pPr>
            <w:r>
              <w:rPr>
                <w:rFonts w:hint="eastAsia" w:ascii="宋体" w:hAnsi="宋体" w:eastAsia="宋体" w:cs="宋体"/>
                <w:sz w:val="21"/>
                <w:szCs w:val="21"/>
                <w:lang w:eastAsia="zh-CN"/>
              </w:rPr>
              <w:t>成交人</w:t>
            </w:r>
            <w:r>
              <w:rPr>
                <w:rFonts w:hint="eastAsia" w:ascii="宋体" w:hAnsi="宋体" w:eastAsia="宋体" w:cs="宋体"/>
                <w:sz w:val="21"/>
                <w:szCs w:val="21"/>
              </w:rPr>
              <w:t>应当向</w:t>
            </w:r>
            <w:r>
              <w:rPr>
                <w:rFonts w:hint="eastAsia" w:ascii="宋体" w:hAnsi="宋体" w:eastAsia="宋体" w:cs="宋体"/>
                <w:sz w:val="21"/>
                <w:szCs w:val="21"/>
                <w:lang w:eastAsia="zh-CN"/>
              </w:rPr>
              <w:t>采购人</w:t>
            </w:r>
            <w:r>
              <w:rPr>
                <w:rFonts w:hint="eastAsia" w:ascii="宋体" w:hAnsi="宋体" w:eastAsia="宋体" w:cs="宋体"/>
                <w:sz w:val="21"/>
                <w:szCs w:val="21"/>
              </w:rPr>
              <w:t>承诺，不论白天、黑夜、节假日</w:t>
            </w:r>
            <w:r>
              <w:rPr>
                <w:rFonts w:hint="eastAsia" w:ascii="宋体" w:hAnsi="宋体" w:eastAsia="宋体" w:cs="宋体"/>
                <w:sz w:val="21"/>
                <w:szCs w:val="21"/>
                <w:lang w:eastAsia="zh-CN"/>
              </w:rPr>
              <w:t>成交人</w:t>
            </w:r>
            <w:r>
              <w:rPr>
                <w:rFonts w:hint="eastAsia" w:ascii="宋体" w:hAnsi="宋体" w:eastAsia="宋体" w:cs="宋体"/>
                <w:sz w:val="21"/>
                <w:szCs w:val="21"/>
              </w:rPr>
              <w:t>都能为</w:t>
            </w:r>
            <w:r>
              <w:rPr>
                <w:rFonts w:hint="eastAsia" w:ascii="宋体" w:hAnsi="宋体" w:eastAsia="宋体" w:cs="宋体"/>
                <w:sz w:val="21"/>
                <w:szCs w:val="21"/>
                <w:lang w:eastAsia="zh-CN"/>
              </w:rPr>
              <w:t>采购人</w:t>
            </w:r>
            <w:r>
              <w:rPr>
                <w:rFonts w:hint="eastAsia" w:ascii="宋体" w:hAnsi="宋体" w:eastAsia="宋体" w:cs="宋体"/>
                <w:sz w:val="21"/>
                <w:szCs w:val="21"/>
              </w:rPr>
              <w:t>提供7*24H在线服务，并且在节假日期间能为</w:t>
            </w:r>
            <w:r>
              <w:rPr>
                <w:rFonts w:hint="eastAsia" w:ascii="宋体" w:hAnsi="宋体" w:eastAsia="宋体" w:cs="宋体"/>
                <w:sz w:val="21"/>
                <w:szCs w:val="21"/>
                <w:lang w:eastAsia="zh-CN"/>
              </w:rPr>
              <w:t>采购人</w:t>
            </w:r>
            <w:r>
              <w:rPr>
                <w:rFonts w:hint="eastAsia" w:ascii="宋体" w:hAnsi="宋体" w:eastAsia="宋体" w:cs="宋体"/>
                <w:sz w:val="21"/>
                <w:szCs w:val="21"/>
              </w:rPr>
              <w:t>提供每日的《节假日值守报告》，提供承诺函并盖公章；</w:t>
            </w:r>
          </w:p>
        </w:tc>
      </w:tr>
      <w:tr w14:paraId="7581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30" w:type="pct"/>
            <w:vAlign w:val="center"/>
          </w:tcPr>
          <w:p w14:paraId="0D6DD062">
            <w:pPr>
              <w:pStyle w:val="11"/>
              <w:numPr>
                <w:ilvl w:val="0"/>
                <w:numId w:val="2"/>
              </w:numPr>
              <w:jc w:val="center"/>
              <w:rPr>
                <w:rFonts w:ascii="宋体" w:hAnsi="宋体" w:eastAsia="宋体" w:cs="宋体"/>
                <w:sz w:val="21"/>
                <w:szCs w:val="21"/>
              </w:rPr>
            </w:pPr>
          </w:p>
        </w:tc>
        <w:tc>
          <w:tcPr>
            <w:tcW w:w="4569" w:type="pct"/>
            <w:vAlign w:val="center"/>
          </w:tcPr>
          <w:p w14:paraId="1DD77DA5">
            <w:pPr>
              <w:pStyle w:val="11"/>
              <w:rPr>
                <w:rFonts w:ascii="宋体" w:hAnsi="宋体" w:eastAsia="宋体" w:cs="宋体"/>
                <w:sz w:val="21"/>
                <w:szCs w:val="21"/>
              </w:rPr>
            </w:pPr>
            <w:r>
              <w:rPr>
                <w:rFonts w:hint="eastAsia" w:ascii="宋体" w:hAnsi="宋体" w:eastAsia="宋体" w:cs="宋体"/>
                <w:sz w:val="21"/>
                <w:szCs w:val="21"/>
                <w:lang w:eastAsia="zh-CN"/>
              </w:rPr>
              <w:t>成交人</w:t>
            </w:r>
            <w:r>
              <w:rPr>
                <w:rFonts w:hint="eastAsia" w:ascii="宋体" w:hAnsi="宋体" w:eastAsia="宋体" w:cs="宋体"/>
                <w:sz w:val="21"/>
                <w:szCs w:val="21"/>
              </w:rPr>
              <w:t>安全服务平台应当支持对接</w:t>
            </w:r>
            <w:r>
              <w:rPr>
                <w:rFonts w:hint="eastAsia" w:ascii="宋体" w:hAnsi="宋体" w:eastAsia="宋体" w:cs="宋体"/>
                <w:sz w:val="21"/>
                <w:szCs w:val="21"/>
                <w:lang w:eastAsia="zh-CN"/>
              </w:rPr>
              <w:t>采购人</w:t>
            </w:r>
            <w:r>
              <w:rPr>
                <w:rFonts w:hint="eastAsia" w:ascii="宋体" w:hAnsi="宋体" w:eastAsia="宋体" w:cs="宋体"/>
                <w:sz w:val="21"/>
                <w:szCs w:val="21"/>
              </w:rPr>
              <w:t>已有的主要安全设备，下一代防火墙、安全态势感知、终端检测与响应平台、支持实时接收安全设备检测到的安全事件信息、安全日志数据提供7*24小时的服务；请提供服务平台支持对接的上述安全设备的能力证明，展示详细的对接步骤</w:t>
            </w:r>
            <w:r>
              <w:rPr>
                <w:rFonts w:ascii="Segoe UI" w:hAnsi="Segoe UI" w:eastAsia="Segoe UI" w:cs="Segoe UI"/>
                <w:i w:val="0"/>
                <w:iCs w:val="0"/>
                <w:caps w:val="0"/>
                <w:spacing w:val="8"/>
                <w:sz w:val="21"/>
                <w:szCs w:val="21"/>
                <w:shd w:val="clear" w:fill="FFFFFF"/>
              </w:rPr>
              <w:t>（</w:t>
            </w:r>
            <w:r>
              <w:rPr>
                <w:rFonts w:hint="eastAsia" w:ascii="Segoe UI" w:hAnsi="Segoe UI" w:eastAsia="宋体" w:cs="Segoe UI"/>
                <w:i w:val="0"/>
                <w:iCs w:val="0"/>
                <w:caps w:val="0"/>
                <w:spacing w:val="8"/>
                <w:sz w:val="21"/>
                <w:szCs w:val="21"/>
                <w:shd w:val="clear" w:fill="FFFFFF"/>
                <w:lang w:val="en-US" w:eastAsia="zh-CN"/>
              </w:rPr>
              <w:t>如</w:t>
            </w:r>
            <w:r>
              <w:rPr>
                <w:rFonts w:ascii="Segoe UI" w:hAnsi="Segoe UI" w:eastAsia="Segoe UI" w:cs="Segoe UI"/>
                <w:i w:val="0"/>
                <w:iCs w:val="0"/>
                <w:caps w:val="0"/>
                <w:spacing w:val="8"/>
                <w:sz w:val="21"/>
                <w:szCs w:val="21"/>
                <w:shd w:val="clear" w:fill="FFFFFF"/>
              </w:rPr>
              <w:t>截图、检测报告或第三方认证）</w:t>
            </w:r>
            <w:r>
              <w:rPr>
                <w:rFonts w:hint="eastAsia" w:ascii="宋体" w:hAnsi="宋体" w:eastAsia="宋体" w:cs="宋体"/>
                <w:sz w:val="21"/>
                <w:szCs w:val="21"/>
              </w:rPr>
              <w:t>；</w:t>
            </w:r>
          </w:p>
        </w:tc>
      </w:tr>
      <w:tr w14:paraId="2078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30" w:type="pct"/>
            <w:vAlign w:val="center"/>
          </w:tcPr>
          <w:p w14:paraId="004016D3">
            <w:pPr>
              <w:pStyle w:val="11"/>
              <w:numPr>
                <w:ilvl w:val="0"/>
                <w:numId w:val="2"/>
              </w:numPr>
              <w:jc w:val="center"/>
              <w:rPr>
                <w:rFonts w:ascii="宋体" w:hAnsi="宋体" w:eastAsia="宋体" w:cs="宋体"/>
                <w:sz w:val="21"/>
                <w:szCs w:val="21"/>
              </w:rPr>
            </w:pPr>
          </w:p>
        </w:tc>
        <w:tc>
          <w:tcPr>
            <w:tcW w:w="4569" w:type="pct"/>
            <w:vAlign w:val="center"/>
          </w:tcPr>
          <w:p w14:paraId="1E6EEDB7">
            <w:pPr>
              <w:pStyle w:val="11"/>
              <w:rPr>
                <w:rFonts w:ascii="宋体" w:hAnsi="宋体" w:eastAsia="宋体" w:cs="宋体"/>
                <w:sz w:val="21"/>
                <w:szCs w:val="21"/>
              </w:rPr>
            </w:pPr>
            <w:r>
              <w:rPr>
                <w:rFonts w:hint="eastAsia" w:ascii="宋体" w:hAnsi="宋体" w:eastAsia="宋体" w:cs="宋体"/>
                <w:sz w:val="21"/>
                <w:szCs w:val="21"/>
                <w:lang w:eastAsia="zh-CN"/>
              </w:rPr>
              <w:t>成交人</w:t>
            </w:r>
            <w:r>
              <w:rPr>
                <w:rFonts w:hint="eastAsia" w:ascii="宋体" w:hAnsi="宋体" w:eastAsia="宋体" w:cs="宋体"/>
                <w:sz w:val="21"/>
                <w:szCs w:val="21"/>
              </w:rPr>
              <w:t>需为</w:t>
            </w:r>
            <w:r>
              <w:rPr>
                <w:rFonts w:hint="eastAsia" w:ascii="宋体" w:hAnsi="宋体" w:eastAsia="宋体" w:cs="宋体"/>
                <w:sz w:val="21"/>
                <w:szCs w:val="21"/>
                <w:lang w:eastAsia="zh-CN"/>
              </w:rPr>
              <w:t>采购人</w:t>
            </w:r>
            <w:r>
              <w:rPr>
                <w:rFonts w:hint="eastAsia" w:ascii="宋体" w:hAnsi="宋体" w:eastAsia="宋体" w:cs="宋体"/>
                <w:sz w:val="21"/>
                <w:szCs w:val="21"/>
              </w:rPr>
              <w:t>提供的服务成果展示门户（或用户Portal），可以直观的管理服务过程中生产的服务报告和交付物，包括但不限于《准备阶段文件》、《特殊时期值守报告》、《运营周报》、《运营月报》、《运营季报》、</w:t>
            </w:r>
            <w:bookmarkStart w:id="0" w:name="OLE_LINK1"/>
            <w:r>
              <w:rPr>
                <w:rFonts w:hint="eastAsia" w:ascii="宋体" w:hAnsi="宋体" w:eastAsia="宋体" w:cs="宋体"/>
                <w:sz w:val="21"/>
                <w:szCs w:val="21"/>
              </w:rPr>
              <w:t>《半年度汇报》、《年度汇报》</w:t>
            </w:r>
            <w:bookmarkEnd w:id="0"/>
            <w:r>
              <w:rPr>
                <w:rFonts w:hint="eastAsia" w:ascii="宋体" w:hAnsi="宋体" w:eastAsia="宋体" w:cs="宋体"/>
                <w:sz w:val="21"/>
                <w:szCs w:val="21"/>
              </w:rPr>
              <w:t>、《威胁情报》《事件总结报告》；提供服务成果展示门户中支持下载和管理上述交付物的相关截图证明</w:t>
            </w:r>
            <w:r>
              <w:rPr>
                <w:rFonts w:ascii="Segoe UI" w:hAnsi="Segoe UI" w:eastAsia="Segoe UI" w:cs="Segoe UI"/>
                <w:i w:val="0"/>
                <w:iCs w:val="0"/>
                <w:caps w:val="0"/>
                <w:spacing w:val="8"/>
                <w:sz w:val="21"/>
                <w:szCs w:val="21"/>
                <w:shd w:val="clear" w:fill="FFFFFF"/>
              </w:rPr>
              <w:t>材料（</w:t>
            </w:r>
            <w:r>
              <w:rPr>
                <w:rFonts w:hint="eastAsia" w:ascii="Segoe UI" w:hAnsi="Segoe UI" w:eastAsia="宋体" w:cs="Segoe UI"/>
                <w:i w:val="0"/>
                <w:iCs w:val="0"/>
                <w:caps w:val="0"/>
                <w:spacing w:val="8"/>
                <w:sz w:val="21"/>
                <w:szCs w:val="21"/>
                <w:shd w:val="clear" w:fill="FFFFFF"/>
                <w:lang w:val="en-US" w:eastAsia="zh-CN"/>
              </w:rPr>
              <w:t>如</w:t>
            </w:r>
            <w:r>
              <w:rPr>
                <w:rFonts w:ascii="Segoe UI" w:hAnsi="Segoe UI" w:eastAsia="Segoe UI" w:cs="Segoe UI"/>
                <w:i w:val="0"/>
                <w:iCs w:val="0"/>
                <w:caps w:val="0"/>
                <w:spacing w:val="8"/>
                <w:sz w:val="21"/>
                <w:szCs w:val="21"/>
                <w:shd w:val="clear" w:fill="FFFFFF"/>
              </w:rPr>
              <w:t>截图、检测报告或第三方认证）</w:t>
            </w:r>
          </w:p>
        </w:tc>
      </w:tr>
      <w:tr w14:paraId="3275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30" w:type="pct"/>
            <w:vAlign w:val="center"/>
          </w:tcPr>
          <w:p w14:paraId="0D798317">
            <w:pPr>
              <w:pStyle w:val="11"/>
              <w:numPr>
                <w:ilvl w:val="0"/>
                <w:numId w:val="2"/>
              </w:numPr>
              <w:jc w:val="center"/>
              <w:rPr>
                <w:rFonts w:ascii="宋体" w:hAnsi="宋体" w:eastAsia="宋体" w:cs="宋体"/>
                <w:sz w:val="21"/>
                <w:szCs w:val="21"/>
              </w:rPr>
            </w:pPr>
          </w:p>
        </w:tc>
        <w:tc>
          <w:tcPr>
            <w:tcW w:w="4569" w:type="pct"/>
            <w:vAlign w:val="center"/>
          </w:tcPr>
          <w:p w14:paraId="57714FBC">
            <w:pPr>
              <w:pStyle w:val="11"/>
              <w:rPr>
                <w:rFonts w:ascii="宋体" w:hAnsi="宋体" w:eastAsia="宋体" w:cs="宋体"/>
                <w:sz w:val="21"/>
                <w:szCs w:val="21"/>
              </w:rPr>
            </w:pPr>
            <w:r>
              <w:rPr>
                <w:rFonts w:hint="eastAsia" w:ascii="宋体" w:hAnsi="宋体" w:eastAsia="宋体" w:cs="宋体"/>
                <w:sz w:val="21"/>
                <w:szCs w:val="21"/>
                <w:lang w:eastAsia="zh-CN"/>
              </w:rPr>
              <w:t>成交人</w:t>
            </w:r>
            <w:r>
              <w:rPr>
                <w:rFonts w:hint="eastAsia" w:ascii="宋体" w:hAnsi="宋体" w:eastAsia="宋体" w:cs="宋体"/>
                <w:sz w:val="21"/>
                <w:szCs w:val="21"/>
              </w:rPr>
              <w:t>需为</w:t>
            </w:r>
            <w:r>
              <w:rPr>
                <w:rFonts w:hint="eastAsia" w:ascii="宋体" w:hAnsi="宋体" w:eastAsia="宋体" w:cs="宋体"/>
                <w:sz w:val="21"/>
                <w:szCs w:val="21"/>
                <w:lang w:eastAsia="zh-CN"/>
              </w:rPr>
              <w:t>采购人</w:t>
            </w:r>
            <w:r>
              <w:rPr>
                <w:rFonts w:hint="eastAsia" w:ascii="宋体" w:hAnsi="宋体" w:eastAsia="宋体" w:cs="宋体"/>
                <w:sz w:val="21"/>
                <w:szCs w:val="21"/>
              </w:rPr>
              <w:t>提供移动端服务过程展示门户（移动端Portal），支持实时直观地查阅服务的每日运营动态。运营动态需包括【事件通告】【威胁通告】【威胁情报】【服务报告】【夜间值守快报】等，并支持自定义进行筛选和管理。提供移动端服务过程展示门户中支持查阅每日运营动态的截图证明。</w:t>
            </w:r>
          </w:p>
        </w:tc>
      </w:tr>
      <w:tr w14:paraId="2500C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30" w:type="pct"/>
            <w:vAlign w:val="center"/>
          </w:tcPr>
          <w:p w14:paraId="6C9A1119">
            <w:pPr>
              <w:pStyle w:val="11"/>
              <w:numPr>
                <w:ilvl w:val="0"/>
                <w:numId w:val="2"/>
              </w:numPr>
              <w:jc w:val="center"/>
              <w:rPr>
                <w:rFonts w:ascii="宋体" w:hAnsi="宋体" w:eastAsia="宋体" w:cs="宋体"/>
                <w:sz w:val="21"/>
                <w:szCs w:val="21"/>
              </w:rPr>
            </w:pPr>
          </w:p>
        </w:tc>
        <w:tc>
          <w:tcPr>
            <w:tcW w:w="4569" w:type="pct"/>
            <w:vAlign w:val="center"/>
          </w:tcPr>
          <w:p w14:paraId="5DFD9A2C">
            <w:pPr>
              <w:pStyle w:val="11"/>
              <w:rPr>
                <w:rFonts w:ascii="宋体" w:hAnsi="宋体" w:eastAsia="宋体" w:cs="宋体"/>
                <w:sz w:val="21"/>
                <w:szCs w:val="21"/>
              </w:rPr>
            </w:pPr>
            <w:r>
              <w:rPr>
                <w:rFonts w:hint="eastAsia" w:ascii="宋体" w:hAnsi="宋体" w:eastAsia="宋体" w:cs="宋体"/>
                <w:sz w:val="21"/>
                <w:szCs w:val="21"/>
                <w:lang w:eastAsia="zh-CN"/>
              </w:rPr>
              <w:t>成交人</w:t>
            </w:r>
            <w:r>
              <w:rPr>
                <w:rFonts w:hint="eastAsia" w:ascii="宋体" w:hAnsi="宋体" w:eastAsia="宋体" w:cs="宋体"/>
                <w:sz w:val="21"/>
                <w:szCs w:val="21"/>
              </w:rPr>
              <w:t>需为</w:t>
            </w:r>
            <w:r>
              <w:rPr>
                <w:rFonts w:hint="eastAsia" w:ascii="宋体" w:hAnsi="宋体" w:eastAsia="宋体" w:cs="宋体"/>
                <w:sz w:val="21"/>
                <w:szCs w:val="21"/>
                <w:lang w:eastAsia="zh-CN"/>
              </w:rPr>
              <w:t>采购人</w:t>
            </w:r>
            <w:r>
              <w:rPr>
                <w:rFonts w:hint="eastAsia" w:ascii="宋体" w:hAnsi="宋体" w:eastAsia="宋体" w:cs="宋体"/>
                <w:sz w:val="21"/>
                <w:szCs w:val="21"/>
              </w:rPr>
              <w:t>提供移动端服务过程展示门户（移动端Portal），通过可视化数据统计的方式，让</w:t>
            </w:r>
            <w:r>
              <w:rPr>
                <w:rFonts w:hint="eastAsia" w:ascii="宋体" w:hAnsi="宋体" w:eastAsia="宋体" w:cs="宋体"/>
                <w:sz w:val="21"/>
                <w:szCs w:val="21"/>
                <w:lang w:eastAsia="zh-CN"/>
              </w:rPr>
              <w:t>采购人</w:t>
            </w:r>
            <w:r>
              <w:rPr>
                <w:rFonts w:hint="eastAsia" w:ascii="宋体" w:hAnsi="宋体" w:eastAsia="宋体" w:cs="宋体"/>
                <w:sz w:val="21"/>
                <w:szCs w:val="21"/>
              </w:rPr>
              <w:t>了解当前待办事项、运营成果；基于服务四大抓手从安全日志、告警分析、事件/威胁分析、漏洞分析、风险资产分析5个维度，进行安全风险可视化呈现，搭配</w:t>
            </w:r>
            <w:r>
              <w:rPr>
                <w:rFonts w:ascii="Segoe UI" w:hAnsi="Segoe UI" w:eastAsia="Segoe UI" w:cs="Segoe UI"/>
                <w:i w:val="0"/>
                <w:iCs w:val="0"/>
                <w:caps w:val="0"/>
                <w:spacing w:val="8"/>
                <w:sz w:val="21"/>
                <w:szCs w:val="21"/>
                <w:shd w:val="clear" w:fill="FFFFFF"/>
              </w:rPr>
              <w:t>智能化分析解读功能</w:t>
            </w:r>
            <w:r>
              <w:rPr>
                <w:rFonts w:hint="eastAsia" w:ascii="宋体" w:hAnsi="宋体" w:eastAsia="宋体" w:cs="宋体"/>
                <w:sz w:val="21"/>
                <w:szCs w:val="21"/>
                <w:lang w:eastAsia="zh-CN"/>
              </w:rPr>
              <w:t>（</w:t>
            </w:r>
            <w:r>
              <w:rPr>
                <w:rFonts w:ascii="Segoe UI" w:hAnsi="Segoe UI" w:eastAsia="Segoe UI" w:cs="Segoe UI"/>
                <w:i w:val="0"/>
                <w:iCs w:val="0"/>
                <w:caps w:val="0"/>
                <w:spacing w:val="8"/>
                <w:sz w:val="21"/>
                <w:szCs w:val="21"/>
                <w:shd w:val="clear" w:fill="FFFFFF"/>
              </w:rPr>
              <w:t>如AI辅助分析或自然语言处理技术</w:t>
            </w:r>
            <w:r>
              <w:rPr>
                <w:rFonts w:hint="eastAsia" w:ascii="宋体" w:hAnsi="宋体" w:eastAsia="宋体" w:cs="宋体"/>
                <w:sz w:val="21"/>
                <w:szCs w:val="21"/>
                <w:lang w:eastAsia="zh-CN"/>
              </w:rPr>
              <w:t>）</w:t>
            </w:r>
            <w:r>
              <w:rPr>
                <w:rFonts w:hint="eastAsia" w:ascii="宋体" w:hAnsi="宋体" w:eastAsia="宋体" w:cs="宋体"/>
                <w:sz w:val="21"/>
                <w:szCs w:val="21"/>
              </w:rPr>
              <w:t>，让</w:t>
            </w:r>
            <w:r>
              <w:rPr>
                <w:rFonts w:hint="eastAsia" w:ascii="宋体" w:hAnsi="宋体" w:eastAsia="宋体" w:cs="宋体"/>
                <w:sz w:val="21"/>
                <w:szCs w:val="21"/>
                <w:lang w:eastAsia="zh-CN"/>
              </w:rPr>
              <w:t>采购人</w:t>
            </w:r>
            <w:r>
              <w:rPr>
                <w:rFonts w:hint="eastAsia" w:ascii="宋体" w:hAnsi="宋体" w:eastAsia="宋体" w:cs="宋体"/>
                <w:sz w:val="21"/>
                <w:szCs w:val="21"/>
              </w:rPr>
              <w:t>全方面了解当前安全运营成果。提供移动端服务过程展示门户中支持展示当前待办事项、运营成果以及对运营成果的</w:t>
            </w:r>
            <w:r>
              <w:rPr>
                <w:rFonts w:ascii="Segoe UI" w:hAnsi="Segoe UI" w:eastAsia="Segoe UI" w:cs="Segoe UI"/>
                <w:i w:val="0"/>
                <w:iCs w:val="0"/>
                <w:caps w:val="0"/>
                <w:spacing w:val="8"/>
                <w:sz w:val="21"/>
                <w:szCs w:val="21"/>
                <w:shd w:val="clear" w:fill="FFFFFF"/>
              </w:rPr>
              <w:t>解读功能</w:t>
            </w:r>
            <w:r>
              <w:rPr>
                <w:rFonts w:hint="eastAsia" w:ascii="宋体" w:hAnsi="宋体" w:eastAsia="宋体" w:cs="宋体"/>
                <w:sz w:val="21"/>
                <w:szCs w:val="21"/>
              </w:rPr>
              <w:t>的截图证明。</w:t>
            </w:r>
          </w:p>
        </w:tc>
      </w:tr>
      <w:tr w14:paraId="237C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0" w:type="pct"/>
            <w:vAlign w:val="center"/>
          </w:tcPr>
          <w:p w14:paraId="04E2F4BC">
            <w:pPr>
              <w:pStyle w:val="11"/>
              <w:numPr>
                <w:ilvl w:val="0"/>
                <w:numId w:val="2"/>
              </w:numPr>
              <w:jc w:val="center"/>
              <w:rPr>
                <w:rFonts w:ascii="宋体" w:hAnsi="宋体" w:eastAsia="宋体" w:cs="宋体"/>
                <w:sz w:val="21"/>
                <w:szCs w:val="21"/>
              </w:rPr>
            </w:pPr>
          </w:p>
        </w:tc>
        <w:tc>
          <w:tcPr>
            <w:tcW w:w="4569" w:type="pct"/>
            <w:vAlign w:val="center"/>
          </w:tcPr>
          <w:p w14:paraId="17453974">
            <w:pPr>
              <w:pStyle w:val="11"/>
              <w:rPr>
                <w:rFonts w:ascii="宋体" w:hAnsi="宋体" w:eastAsia="宋体" w:cs="宋体"/>
                <w:sz w:val="21"/>
                <w:szCs w:val="21"/>
              </w:rPr>
            </w:pPr>
            <w:r>
              <w:rPr>
                <w:rFonts w:hint="eastAsia" w:ascii="宋体" w:hAnsi="宋体" w:eastAsia="宋体" w:cs="宋体"/>
                <w:sz w:val="21"/>
                <w:szCs w:val="21"/>
              </w:rPr>
              <w:t>为了降低</w:t>
            </w:r>
            <w:r>
              <w:rPr>
                <w:rFonts w:hint="eastAsia" w:ascii="宋体" w:hAnsi="宋体" w:eastAsia="宋体" w:cs="宋体"/>
                <w:sz w:val="21"/>
                <w:szCs w:val="21"/>
                <w:lang w:eastAsia="zh-CN"/>
              </w:rPr>
              <w:t>采购人</w:t>
            </w:r>
            <w:r>
              <w:rPr>
                <w:rFonts w:hint="eastAsia" w:ascii="宋体" w:hAnsi="宋体" w:eastAsia="宋体" w:cs="宋体"/>
                <w:sz w:val="21"/>
                <w:szCs w:val="21"/>
              </w:rPr>
              <w:t>因网络安全事件造成的损失和影响，</w:t>
            </w:r>
            <w:r>
              <w:rPr>
                <w:rFonts w:hint="eastAsia" w:ascii="宋体" w:hAnsi="宋体" w:eastAsia="宋体" w:cs="宋体"/>
                <w:sz w:val="21"/>
                <w:szCs w:val="21"/>
                <w:lang w:eastAsia="zh-CN"/>
              </w:rPr>
              <w:t>成交人</w:t>
            </w:r>
            <w:r>
              <w:rPr>
                <w:rFonts w:hint="eastAsia" w:ascii="宋体" w:hAnsi="宋体" w:eastAsia="宋体" w:cs="宋体"/>
                <w:sz w:val="21"/>
                <w:szCs w:val="21"/>
              </w:rPr>
              <w:t>应当按照以下服务指标和要求为</w:t>
            </w:r>
            <w:r>
              <w:rPr>
                <w:rFonts w:hint="eastAsia" w:ascii="宋体" w:hAnsi="宋体" w:eastAsia="宋体" w:cs="宋体"/>
                <w:sz w:val="21"/>
                <w:szCs w:val="21"/>
                <w:lang w:eastAsia="zh-CN"/>
              </w:rPr>
              <w:t>采购人</w:t>
            </w:r>
            <w:r>
              <w:rPr>
                <w:rFonts w:hint="eastAsia" w:ascii="宋体" w:hAnsi="宋体" w:eastAsia="宋体" w:cs="宋体"/>
                <w:sz w:val="21"/>
                <w:szCs w:val="21"/>
              </w:rPr>
              <w:t>提供服务：</w:t>
            </w:r>
          </w:p>
          <w:p w14:paraId="1172CF74">
            <w:pPr>
              <w:rPr>
                <w:rFonts w:ascii="宋体" w:hAnsi="宋体" w:eastAsia="宋体" w:cs="宋体"/>
                <w:sz w:val="21"/>
                <w:szCs w:val="21"/>
              </w:rPr>
            </w:pPr>
            <w:r>
              <w:rPr>
                <w:rFonts w:hint="eastAsia" w:ascii="宋体" w:hAnsi="宋体" w:eastAsia="宋体" w:cs="宋体"/>
                <w:sz w:val="21"/>
                <w:szCs w:val="21"/>
              </w:rPr>
              <w:t>要求</w:t>
            </w:r>
            <w:r>
              <w:rPr>
                <w:rFonts w:hint="eastAsia" w:ascii="宋体" w:hAnsi="宋体" w:eastAsia="宋体" w:cs="宋体"/>
                <w:sz w:val="21"/>
                <w:szCs w:val="21"/>
                <w:lang w:eastAsia="zh-CN"/>
              </w:rPr>
              <w:t>成交人</w:t>
            </w:r>
            <w:r>
              <w:rPr>
                <w:rFonts w:hint="eastAsia" w:ascii="宋体" w:hAnsi="宋体" w:eastAsia="宋体" w:cs="宋体"/>
                <w:sz w:val="21"/>
                <w:szCs w:val="21"/>
              </w:rPr>
              <w:t>对标以下服务指标进行应答，并出具相关承诺函并加盖公章；</w:t>
            </w:r>
          </w:p>
          <w:p w14:paraId="4D123857">
            <w:pPr>
              <w:pStyle w:val="11"/>
              <w:rPr>
                <w:rFonts w:ascii="宋体" w:hAnsi="宋体" w:eastAsia="宋体" w:cs="宋体"/>
                <w:sz w:val="21"/>
                <w:szCs w:val="21"/>
              </w:rPr>
            </w:pPr>
            <w:r>
              <w:rPr>
                <w:rFonts w:hint="eastAsia" w:ascii="宋体" w:hAnsi="宋体" w:eastAsia="宋体" w:cs="宋体"/>
                <w:sz w:val="21"/>
                <w:szCs w:val="21"/>
              </w:rPr>
              <w:t>（1）从安全日志上传分析研判到通告给</w:t>
            </w:r>
            <w:r>
              <w:rPr>
                <w:rFonts w:hint="eastAsia" w:ascii="宋体" w:hAnsi="宋体" w:eastAsia="宋体" w:cs="宋体"/>
                <w:sz w:val="21"/>
                <w:szCs w:val="21"/>
                <w:lang w:eastAsia="zh-CN"/>
              </w:rPr>
              <w:t>采购人</w:t>
            </w:r>
            <w:r>
              <w:rPr>
                <w:rFonts w:hint="eastAsia" w:ascii="宋体" w:hAnsi="宋体" w:eastAsia="宋体" w:cs="宋体"/>
                <w:sz w:val="21"/>
                <w:szCs w:val="21"/>
              </w:rPr>
              <w:t>的时间方面，按照国家标准对安全事件的分类分级指南，重大安全事件通告时间小于15分钟，一般事件的通告时间少于30分钟；</w:t>
            </w:r>
          </w:p>
          <w:p w14:paraId="384F571E">
            <w:pPr>
              <w:pStyle w:val="11"/>
              <w:rPr>
                <w:rFonts w:ascii="宋体" w:hAnsi="宋体" w:eastAsia="宋体" w:cs="宋体"/>
                <w:sz w:val="21"/>
                <w:szCs w:val="21"/>
              </w:rPr>
            </w:pPr>
            <w:r>
              <w:rPr>
                <w:rFonts w:hint="eastAsia" w:ascii="宋体" w:hAnsi="宋体" w:eastAsia="宋体" w:cs="宋体"/>
                <w:sz w:val="21"/>
                <w:szCs w:val="21"/>
              </w:rPr>
              <w:t>（2）在配备</w:t>
            </w:r>
            <w:r>
              <w:rPr>
                <w:rFonts w:hint="eastAsia" w:ascii="宋体" w:hAnsi="宋体" w:eastAsia="宋体" w:cs="宋体"/>
                <w:sz w:val="21"/>
                <w:szCs w:val="21"/>
                <w:lang w:eastAsia="zh-CN"/>
              </w:rPr>
              <w:t>成交人</w:t>
            </w:r>
            <w:r>
              <w:rPr>
                <w:rFonts w:hint="eastAsia" w:ascii="宋体" w:hAnsi="宋体" w:eastAsia="宋体" w:cs="宋体"/>
                <w:sz w:val="21"/>
                <w:szCs w:val="21"/>
              </w:rPr>
              <w:t>的边界防护服务组件和端点防护服务组件的情况下，重大威胁与事件的遏制影响完成时间少于15分钟，一般威胁与事件的遏制影响完成时间少于30分钟；</w:t>
            </w:r>
          </w:p>
          <w:p w14:paraId="50E72F6C">
            <w:pPr>
              <w:pStyle w:val="11"/>
              <w:rPr>
                <w:rFonts w:ascii="宋体" w:hAnsi="宋体" w:eastAsia="宋体" w:cs="宋体"/>
                <w:sz w:val="21"/>
                <w:szCs w:val="21"/>
              </w:rPr>
            </w:pPr>
            <w:r>
              <w:rPr>
                <w:rFonts w:hint="eastAsia" w:ascii="宋体" w:hAnsi="宋体" w:eastAsia="宋体" w:cs="宋体"/>
                <w:sz w:val="21"/>
                <w:szCs w:val="21"/>
              </w:rPr>
              <w:t>（3）安全事件经过服务人员的确认后，通告给</w:t>
            </w:r>
            <w:r>
              <w:rPr>
                <w:rFonts w:hint="eastAsia" w:ascii="宋体" w:hAnsi="宋体" w:eastAsia="宋体" w:cs="宋体"/>
                <w:sz w:val="21"/>
                <w:szCs w:val="21"/>
                <w:lang w:eastAsia="zh-CN"/>
              </w:rPr>
              <w:t>采购人</w:t>
            </w:r>
            <w:r>
              <w:rPr>
                <w:rFonts w:hint="eastAsia" w:ascii="宋体" w:hAnsi="宋体" w:eastAsia="宋体" w:cs="宋体"/>
                <w:sz w:val="21"/>
                <w:szCs w:val="21"/>
              </w:rPr>
              <w:t>的各类安全事件的准确率不低于99%（即误报不能超过1%）；</w:t>
            </w:r>
          </w:p>
          <w:p w14:paraId="5F06DE7F">
            <w:pPr>
              <w:pStyle w:val="11"/>
              <w:rPr>
                <w:rFonts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成交人</w:t>
            </w:r>
            <w:r>
              <w:rPr>
                <w:rFonts w:hint="eastAsia" w:ascii="宋体" w:hAnsi="宋体" w:eastAsia="宋体" w:cs="宋体"/>
                <w:sz w:val="21"/>
                <w:szCs w:val="21"/>
              </w:rPr>
              <w:t>应当承诺，服务范围内的所有安全事件的闭环处置比例达到100%。</w:t>
            </w:r>
          </w:p>
          <w:p w14:paraId="3BFA5492">
            <w:pPr>
              <w:pStyle w:val="11"/>
              <w:rPr>
                <w:rFonts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成交人</w:t>
            </w:r>
            <w:r>
              <w:rPr>
                <w:rFonts w:hint="eastAsia" w:ascii="宋体" w:hAnsi="宋体" w:eastAsia="宋体" w:cs="宋体"/>
                <w:sz w:val="21"/>
                <w:szCs w:val="21"/>
              </w:rPr>
              <w:t>应当满足重大事故应启动应急响应机制，工作时间15分钟之内云端专家进行响应，非工作时间30分钟之内云端专家进行响应，省会2小时上门处置，省内8小时上门处置。</w:t>
            </w:r>
          </w:p>
        </w:tc>
      </w:tr>
    </w:tbl>
    <w:p w14:paraId="49397372">
      <w:pPr>
        <w:snapToGrid w:val="0"/>
        <w:spacing w:line="360" w:lineRule="auto"/>
        <w:rPr>
          <w:rFonts w:ascii="宋体" w:hAnsi="宋体" w:eastAsia="宋体" w:cs="宋体"/>
          <w:b/>
          <w:color w:val="000000" w:themeColor="text1"/>
          <w:sz w:val="24"/>
        </w:rPr>
      </w:pPr>
      <w:r>
        <w:rPr>
          <w:rFonts w:hint="eastAsia" w:ascii="宋体" w:hAnsi="宋体" w:eastAsia="宋体" w:cs="宋体"/>
          <w:b/>
          <w:color w:val="000000" w:themeColor="text1"/>
          <w:sz w:val="24"/>
        </w:rPr>
        <w:t>2、服务要求:</w:t>
      </w:r>
    </w:p>
    <w:p w14:paraId="4731E338">
      <w:pPr>
        <w:snapToGrid w:val="0"/>
        <w:spacing w:line="360" w:lineRule="auto"/>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2.1服务及资质要求</w:t>
      </w:r>
    </w:p>
    <w:p w14:paraId="29AAE9C4">
      <w:pPr>
        <w:snapToGrid w:val="0"/>
        <w:spacing w:line="360" w:lineRule="auto"/>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若安全服务非</w:t>
      </w:r>
      <w:r>
        <w:rPr>
          <w:rFonts w:hint="eastAsia" w:ascii="宋体" w:hAnsi="宋体" w:eastAsia="宋体" w:cs="宋体"/>
          <w:color w:val="000000" w:themeColor="text1"/>
          <w:sz w:val="21"/>
          <w:szCs w:val="21"/>
          <w:lang w:eastAsia="zh-CN"/>
        </w:rPr>
        <w:t>成交</w:t>
      </w:r>
      <w:r>
        <w:rPr>
          <w:rFonts w:hint="eastAsia" w:ascii="宋体" w:hAnsi="宋体" w:eastAsia="宋体" w:cs="宋体"/>
          <w:color w:val="000000" w:themeColor="text1"/>
          <w:sz w:val="21"/>
          <w:szCs w:val="21"/>
        </w:rPr>
        <w:t>人直接提供，</w:t>
      </w:r>
      <w:r>
        <w:rPr>
          <w:rFonts w:hint="eastAsia" w:ascii="宋体" w:hAnsi="宋体" w:eastAsia="宋体" w:cs="宋体"/>
          <w:color w:val="000000" w:themeColor="text1"/>
          <w:sz w:val="21"/>
          <w:szCs w:val="21"/>
          <w:lang w:eastAsia="zh-CN"/>
        </w:rPr>
        <w:t>成交</w:t>
      </w:r>
      <w:r>
        <w:rPr>
          <w:rFonts w:hint="eastAsia" w:ascii="宋体" w:hAnsi="宋体" w:eastAsia="宋体" w:cs="宋体"/>
          <w:color w:val="000000" w:themeColor="text1"/>
          <w:sz w:val="21"/>
          <w:szCs w:val="21"/>
        </w:rPr>
        <w:t>人应出具所投产品厂家的代理资质及所投产品服务资质</w:t>
      </w:r>
    </w:p>
    <w:p w14:paraId="7050B151">
      <w:pPr>
        <w:snapToGrid w:val="0"/>
        <w:spacing w:line="360" w:lineRule="auto"/>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2.2技术人员实力</w:t>
      </w:r>
    </w:p>
    <w:p w14:paraId="7F5785FC">
      <w:pPr>
        <w:snapToGrid w:val="0"/>
        <w:spacing w:line="360" w:lineRule="auto"/>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具备具有安全产品操作及实施经验的技术工程师，提供相关的认证资质证书</w:t>
      </w:r>
    </w:p>
    <w:p w14:paraId="57BBD70C">
      <w:pPr>
        <w:snapToGrid w:val="0"/>
        <w:spacing w:line="360" w:lineRule="auto"/>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2.3安全服务方案</w:t>
      </w:r>
    </w:p>
    <w:p w14:paraId="0CF83E37">
      <w:pPr>
        <w:pStyle w:val="11"/>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提供针对本项目的安全服务方案说明</w:t>
      </w:r>
    </w:p>
    <w:p w14:paraId="5ECB47A6">
      <w:pPr>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2.4安全责任划分</w:t>
      </w:r>
    </w:p>
    <w:p w14:paraId="23552B87">
      <w:pPr>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★发生安全事故时，若</w:t>
      </w:r>
      <w:r>
        <w:rPr>
          <w:rFonts w:hint="eastAsia" w:ascii="宋体" w:hAnsi="宋体" w:eastAsia="宋体" w:cs="宋体"/>
          <w:color w:val="000000" w:themeColor="text1"/>
          <w:sz w:val="21"/>
          <w:szCs w:val="21"/>
          <w:lang w:eastAsia="zh-CN"/>
        </w:rPr>
        <w:t>成交</w:t>
      </w:r>
      <w:r>
        <w:rPr>
          <w:rFonts w:hint="eastAsia" w:ascii="宋体" w:hAnsi="宋体" w:eastAsia="宋体" w:cs="宋体"/>
          <w:color w:val="000000" w:themeColor="text1"/>
          <w:sz w:val="21"/>
          <w:szCs w:val="21"/>
        </w:rPr>
        <w:t>人未按照合同约定履行义务，如未及时提醒或协助处理不到位，导致</w:t>
      </w:r>
      <w:r>
        <w:rPr>
          <w:rFonts w:hint="eastAsia" w:ascii="宋体" w:hAnsi="宋体" w:eastAsia="宋体" w:cs="宋体"/>
          <w:color w:val="000000" w:themeColor="text1"/>
          <w:sz w:val="21"/>
          <w:szCs w:val="21"/>
          <w:lang w:eastAsia="zh-CN"/>
        </w:rPr>
        <w:t>采购人</w:t>
      </w:r>
      <w:r>
        <w:rPr>
          <w:rFonts w:hint="eastAsia" w:ascii="宋体" w:hAnsi="宋体" w:eastAsia="宋体" w:cs="宋体"/>
          <w:color w:val="000000" w:themeColor="text1"/>
          <w:sz w:val="21"/>
          <w:szCs w:val="21"/>
        </w:rPr>
        <w:t>出现信息资产损失，</w:t>
      </w:r>
      <w:r>
        <w:rPr>
          <w:rFonts w:hint="eastAsia" w:ascii="宋体" w:hAnsi="宋体" w:eastAsia="宋体" w:cs="宋体"/>
          <w:color w:val="000000" w:themeColor="text1"/>
          <w:sz w:val="21"/>
          <w:szCs w:val="21"/>
          <w:lang w:eastAsia="zh-CN"/>
        </w:rPr>
        <w:t>成交人</w:t>
      </w:r>
      <w:r>
        <w:rPr>
          <w:rFonts w:hint="eastAsia" w:ascii="宋体" w:hAnsi="宋体" w:eastAsia="宋体" w:cs="宋体"/>
          <w:color w:val="000000" w:themeColor="text1"/>
          <w:sz w:val="21"/>
          <w:szCs w:val="21"/>
        </w:rPr>
        <w:t>需承担相应赔偿责任,甲方有权无责取消服务合同。</w:t>
      </w:r>
    </w:p>
    <w:p w14:paraId="1F574E75">
      <w:pPr>
        <w:pStyle w:val="11"/>
        <w:spacing w:after="160" w:line="360" w:lineRule="auto"/>
        <w:jc w:val="center"/>
        <w:rPr>
          <w:rFonts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E4FA93"/>
    <w:multiLevelType w:val="singleLevel"/>
    <w:tmpl w:val="05E4FA93"/>
    <w:lvl w:ilvl="0" w:tentative="0">
      <w:start w:val="1"/>
      <w:numFmt w:val="chineseCounting"/>
      <w:suff w:val="nothing"/>
      <w:lvlText w:val="%1、"/>
      <w:lvlJc w:val="left"/>
      <w:rPr>
        <w:rFonts w:hint="eastAsia"/>
      </w:rPr>
    </w:lvl>
  </w:abstractNum>
  <w:abstractNum w:abstractNumId="1">
    <w:nsid w:val="522F4FB7"/>
    <w:multiLevelType w:val="multilevel"/>
    <w:tmpl w:val="522F4FB7"/>
    <w:lvl w:ilvl="0" w:tentative="0">
      <w:start w:val="1"/>
      <w:numFmt w:val="decimal"/>
      <w:suff w:val="nothing"/>
      <w:lvlText w:val="%1"/>
      <w:lvlJc w:val="center"/>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WJmYmVhMGQ2YWQwOTc0ZDFkYmVkZTE0NzFkNThlYzIifQ=="/>
  </w:docVars>
  <w:rsids>
    <w:rsidRoot w:val="0025415F"/>
    <w:rsid w:val="00060D94"/>
    <w:rsid w:val="000B62C0"/>
    <w:rsid w:val="00146BB3"/>
    <w:rsid w:val="00241DDD"/>
    <w:rsid w:val="0025415F"/>
    <w:rsid w:val="002F56C3"/>
    <w:rsid w:val="002F7255"/>
    <w:rsid w:val="00332D4D"/>
    <w:rsid w:val="00426A49"/>
    <w:rsid w:val="004F2711"/>
    <w:rsid w:val="00504FE6"/>
    <w:rsid w:val="006D6229"/>
    <w:rsid w:val="00701450"/>
    <w:rsid w:val="007F0C9D"/>
    <w:rsid w:val="00A2018D"/>
    <w:rsid w:val="00A52BEE"/>
    <w:rsid w:val="00AF1B66"/>
    <w:rsid w:val="00C544B5"/>
    <w:rsid w:val="00F62E5F"/>
    <w:rsid w:val="02881E1F"/>
    <w:rsid w:val="0895702F"/>
    <w:rsid w:val="0FB6788B"/>
    <w:rsid w:val="112363F0"/>
    <w:rsid w:val="18FE477D"/>
    <w:rsid w:val="1AF71484"/>
    <w:rsid w:val="1EB45ECB"/>
    <w:rsid w:val="281A5FEB"/>
    <w:rsid w:val="2A3873C3"/>
    <w:rsid w:val="2F3F0ED9"/>
    <w:rsid w:val="385949C9"/>
    <w:rsid w:val="38810BBF"/>
    <w:rsid w:val="3CEB3BAF"/>
    <w:rsid w:val="435C1AAA"/>
    <w:rsid w:val="46AF05B5"/>
    <w:rsid w:val="47D426E1"/>
    <w:rsid w:val="48903420"/>
    <w:rsid w:val="4F9667B6"/>
    <w:rsid w:val="52374C03"/>
    <w:rsid w:val="539503C2"/>
    <w:rsid w:val="53E56A30"/>
    <w:rsid w:val="561D1A02"/>
    <w:rsid w:val="587C1217"/>
    <w:rsid w:val="5BC97600"/>
    <w:rsid w:val="5F021772"/>
    <w:rsid w:val="629628FD"/>
    <w:rsid w:val="656E2A04"/>
    <w:rsid w:val="683230C8"/>
    <w:rsid w:val="69C266CE"/>
    <w:rsid w:val="6A042842"/>
    <w:rsid w:val="6F61284E"/>
    <w:rsid w:val="7321446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F5496"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496"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2F5496"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2F5496"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F5496" w:themeColor="accent1" w:themeShade="BF"/>
      <w:sz w:val="24"/>
    </w:rPr>
  </w:style>
  <w:style w:type="paragraph" w:styleId="7">
    <w:name w:val="heading 6"/>
    <w:basedOn w:val="1"/>
    <w:next w:val="1"/>
    <w:link w:val="25"/>
    <w:semiHidden/>
    <w:unhideWhenUsed/>
    <w:qFormat/>
    <w:uiPriority w:val="9"/>
    <w:pPr>
      <w:keepNext/>
      <w:keepLines/>
      <w:spacing w:before="40" w:after="0"/>
      <w:outlineLvl w:val="5"/>
    </w:pPr>
    <w:rPr>
      <w:rFonts w:cstheme="majorBidi"/>
      <w:b/>
      <w:bCs/>
      <w:color w:val="2F5496" w:themeColor="accent1" w:themeShade="BF"/>
    </w:rPr>
  </w:style>
  <w:style w:type="paragraph" w:styleId="8">
    <w:name w:val="heading 7"/>
    <w:basedOn w:val="1"/>
    <w:next w:val="1"/>
    <w:link w:val="26"/>
    <w:semiHidden/>
    <w:unhideWhenUsed/>
    <w:qFormat/>
    <w:uiPriority w:val="9"/>
    <w:pPr>
      <w:keepNext/>
      <w:keepLines/>
      <w:spacing w:before="40" w:after="0"/>
      <w:outlineLvl w:val="6"/>
    </w:pPr>
    <w:rPr>
      <w:rFonts w:cstheme="majorBidi"/>
      <w:b/>
      <w:bCs/>
      <w:color w:val="585858" w:themeColor="text1" w:themeTint="A6"/>
    </w:rPr>
  </w:style>
  <w:style w:type="paragraph" w:styleId="9">
    <w:name w:val="heading 8"/>
    <w:basedOn w:val="1"/>
    <w:next w:val="1"/>
    <w:link w:val="27"/>
    <w:semiHidden/>
    <w:unhideWhenUsed/>
    <w:qFormat/>
    <w:uiPriority w:val="9"/>
    <w:pPr>
      <w:keepNext/>
      <w:keepLines/>
      <w:spacing w:after="0"/>
      <w:outlineLvl w:val="7"/>
    </w:pPr>
    <w:rPr>
      <w:rFonts w:cstheme="majorBidi"/>
      <w:color w:val="585858" w:themeColor="text1" w:themeTint="A6"/>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585858" w:themeColor="text1" w:themeTint="A6"/>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next w:val="1"/>
    <w:unhideWhenUsed/>
    <w:qFormat/>
    <w:uiPriority w:val="99"/>
    <w:pPr>
      <w:spacing w:after="120"/>
    </w:pPr>
  </w:style>
  <w:style w:type="paragraph" w:styleId="12">
    <w:name w:val="Balloon Text"/>
    <w:basedOn w:val="1"/>
    <w:link w:val="40"/>
    <w:semiHidden/>
    <w:unhideWhenUsed/>
    <w:qFormat/>
    <w:uiPriority w:val="99"/>
    <w:pPr>
      <w:spacing w:after="0" w:line="240" w:lineRule="auto"/>
    </w:pPr>
    <w:rPr>
      <w:sz w:val="18"/>
      <w:szCs w:val="18"/>
    </w:rPr>
  </w:style>
  <w:style w:type="paragraph" w:styleId="13">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14">
    <w:name w:val="header"/>
    <w:basedOn w:val="1"/>
    <w:link w:val="38"/>
    <w:unhideWhenUsed/>
    <w:qFormat/>
    <w:uiPriority w:val="99"/>
    <w:pPr>
      <w:tabs>
        <w:tab w:val="center" w:pos="4153"/>
        <w:tab w:val="right" w:pos="8306"/>
      </w:tabs>
      <w:snapToGrid w:val="0"/>
      <w:spacing w:line="240" w:lineRule="auto"/>
      <w:jc w:val="center"/>
    </w:pPr>
    <w:rPr>
      <w:sz w:val="18"/>
      <w:szCs w:val="18"/>
    </w:rPr>
  </w:style>
  <w:style w:type="paragraph" w:styleId="15">
    <w:name w:val="Subtitle"/>
    <w:basedOn w:val="1"/>
    <w:next w:val="1"/>
    <w:link w:val="30"/>
    <w:qFormat/>
    <w:uiPriority w:val="11"/>
    <w:pPr>
      <w:jc w:val="center"/>
    </w:pPr>
    <w:rPr>
      <w:rFonts w:asciiTheme="majorHAnsi" w:hAnsiTheme="majorHAnsi" w:eastAsiaTheme="majorEastAsia" w:cstheme="majorBidi"/>
      <w:color w:val="585858" w:themeColor="text1" w:themeTint="A6"/>
      <w:spacing w:val="15"/>
      <w:sz w:val="28"/>
      <w:szCs w:val="28"/>
    </w:rPr>
  </w:style>
  <w:style w:type="paragraph" w:styleId="16">
    <w:name w:val="Title"/>
    <w:basedOn w:val="1"/>
    <w:next w:val="1"/>
    <w:link w:val="29"/>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标题 1 Char"/>
    <w:basedOn w:val="19"/>
    <w:link w:val="2"/>
    <w:qFormat/>
    <w:uiPriority w:val="9"/>
    <w:rPr>
      <w:rFonts w:asciiTheme="majorHAnsi" w:hAnsiTheme="majorHAnsi" w:eastAsiaTheme="majorEastAsia" w:cstheme="majorBidi"/>
      <w:color w:val="2F5496" w:themeColor="accent1" w:themeShade="BF"/>
      <w:sz w:val="48"/>
      <w:szCs w:val="48"/>
    </w:rPr>
  </w:style>
  <w:style w:type="character" w:customStyle="1" w:styleId="21">
    <w:name w:val="标题 2 Char"/>
    <w:basedOn w:val="19"/>
    <w:link w:val="3"/>
    <w:semiHidden/>
    <w:qFormat/>
    <w:uiPriority w:val="9"/>
    <w:rPr>
      <w:rFonts w:asciiTheme="majorHAnsi" w:hAnsiTheme="majorHAnsi" w:eastAsiaTheme="majorEastAsia" w:cstheme="majorBidi"/>
      <w:color w:val="2F5496" w:themeColor="accent1" w:themeShade="BF"/>
      <w:sz w:val="40"/>
      <w:szCs w:val="40"/>
    </w:rPr>
  </w:style>
  <w:style w:type="character" w:customStyle="1" w:styleId="22">
    <w:name w:val="标题 3 Char"/>
    <w:basedOn w:val="19"/>
    <w:link w:val="4"/>
    <w:semiHidden/>
    <w:qFormat/>
    <w:uiPriority w:val="9"/>
    <w:rPr>
      <w:rFonts w:asciiTheme="majorHAnsi" w:hAnsiTheme="majorHAnsi" w:eastAsiaTheme="majorEastAsia" w:cstheme="majorBidi"/>
      <w:color w:val="2F5496" w:themeColor="accent1" w:themeShade="BF"/>
      <w:sz w:val="32"/>
      <w:szCs w:val="32"/>
    </w:rPr>
  </w:style>
  <w:style w:type="character" w:customStyle="1" w:styleId="23">
    <w:name w:val="标题 4 Char"/>
    <w:basedOn w:val="19"/>
    <w:link w:val="5"/>
    <w:semiHidden/>
    <w:qFormat/>
    <w:uiPriority w:val="9"/>
    <w:rPr>
      <w:rFonts w:cstheme="majorBidi"/>
      <w:color w:val="2F5496" w:themeColor="accent1" w:themeShade="BF"/>
      <w:sz w:val="28"/>
      <w:szCs w:val="28"/>
    </w:rPr>
  </w:style>
  <w:style w:type="character" w:customStyle="1" w:styleId="24">
    <w:name w:val="标题 5 Char"/>
    <w:basedOn w:val="19"/>
    <w:link w:val="6"/>
    <w:semiHidden/>
    <w:qFormat/>
    <w:uiPriority w:val="9"/>
    <w:rPr>
      <w:rFonts w:cstheme="majorBidi"/>
      <w:color w:val="2F5496" w:themeColor="accent1" w:themeShade="BF"/>
      <w:sz w:val="24"/>
    </w:rPr>
  </w:style>
  <w:style w:type="character" w:customStyle="1" w:styleId="25">
    <w:name w:val="标题 6 Char"/>
    <w:basedOn w:val="19"/>
    <w:link w:val="7"/>
    <w:semiHidden/>
    <w:qFormat/>
    <w:uiPriority w:val="9"/>
    <w:rPr>
      <w:rFonts w:cstheme="majorBidi"/>
      <w:b/>
      <w:bCs/>
      <w:color w:val="2F5496" w:themeColor="accent1" w:themeShade="BF"/>
    </w:rPr>
  </w:style>
  <w:style w:type="character" w:customStyle="1" w:styleId="26">
    <w:name w:val="标题 7 Char"/>
    <w:basedOn w:val="19"/>
    <w:link w:val="8"/>
    <w:semiHidden/>
    <w:qFormat/>
    <w:uiPriority w:val="9"/>
    <w:rPr>
      <w:rFonts w:cstheme="majorBidi"/>
      <w:b/>
      <w:bCs/>
      <w:color w:val="585858" w:themeColor="text1" w:themeTint="A6"/>
    </w:rPr>
  </w:style>
  <w:style w:type="character" w:customStyle="1" w:styleId="27">
    <w:name w:val="标题 8 Char"/>
    <w:basedOn w:val="19"/>
    <w:link w:val="9"/>
    <w:semiHidden/>
    <w:qFormat/>
    <w:uiPriority w:val="9"/>
    <w:rPr>
      <w:rFonts w:cstheme="majorBidi"/>
      <w:color w:val="585858" w:themeColor="text1" w:themeTint="A6"/>
    </w:rPr>
  </w:style>
  <w:style w:type="character" w:customStyle="1" w:styleId="28">
    <w:name w:val="标题 9 Char"/>
    <w:basedOn w:val="19"/>
    <w:link w:val="10"/>
    <w:semiHidden/>
    <w:qFormat/>
    <w:uiPriority w:val="9"/>
    <w:rPr>
      <w:rFonts w:eastAsiaTheme="majorEastAsia" w:cstheme="majorBidi"/>
      <w:color w:val="585858" w:themeColor="text1" w:themeTint="A6"/>
    </w:rPr>
  </w:style>
  <w:style w:type="character" w:customStyle="1" w:styleId="29">
    <w:name w:val="标题 Char"/>
    <w:basedOn w:val="19"/>
    <w:link w:val="16"/>
    <w:qFormat/>
    <w:uiPriority w:val="10"/>
    <w:rPr>
      <w:rFonts w:asciiTheme="majorHAnsi" w:hAnsiTheme="majorHAnsi" w:eastAsiaTheme="majorEastAsia" w:cstheme="majorBidi"/>
      <w:spacing w:val="-10"/>
      <w:kern w:val="28"/>
      <w:sz w:val="56"/>
      <w:szCs w:val="56"/>
    </w:rPr>
  </w:style>
  <w:style w:type="character" w:customStyle="1" w:styleId="30">
    <w:name w:val="副标题 Char"/>
    <w:basedOn w:val="19"/>
    <w:link w:val="15"/>
    <w:qFormat/>
    <w:uiPriority w:val="11"/>
    <w:rPr>
      <w:rFonts w:asciiTheme="majorHAnsi" w:hAnsiTheme="majorHAnsi" w:eastAsiaTheme="majorEastAsia" w:cstheme="majorBidi"/>
      <w:color w:val="585858" w:themeColor="text1" w:themeTint="A6"/>
      <w:spacing w:val="15"/>
      <w:sz w:val="28"/>
      <w:szCs w:val="28"/>
    </w:rPr>
  </w:style>
  <w:style w:type="paragraph" w:styleId="31">
    <w:name w:val="Quote"/>
    <w:basedOn w:val="1"/>
    <w:next w:val="1"/>
    <w:link w:val="32"/>
    <w:qFormat/>
    <w:uiPriority w:val="29"/>
    <w:pPr>
      <w:spacing w:before="160"/>
      <w:jc w:val="center"/>
    </w:pPr>
    <w:rPr>
      <w:i/>
      <w:iCs/>
      <w:color w:val="3F3F3F" w:themeColor="text1" w:themeTint="BF"/>
    </w:rPr>
  </w:style>
  <w:style w:type="character" w:customStyle="1" w:styleId="32">
    <w:name w:val="引用 Char"/>
    <w:basedOn w:val="19"/>
    <w:link w:val="31"/>
    <w:qFormat/>
    <w:uiPriority w:val="29"/>
    <w:rPr>
      <w:i/>
      <w:iCs/>
      <w:color w:val="3F3F3F" w:themeColor="text1" w:themeTint="BF"/>
    </w:rPr>
  </w:style>
  <w:style w:type="paragraph" w:styleId="33">
    <w:name w:val="List Paragraph"/>
    <w:basedOn w:val="1"/>
    <w:qFormat/>
    <w:uiPriority w:val="34"/>
    <w:pPr>
      <w:ind w:left="720"/>
      <w:contextualSpacing/>
    </w:pPr>
  </w:style>
  <w:style w:type="character" w:customStyle="1" w:styleId="34">
    <w:name w:val="明显强调1"/>
    <w:basedOn w:val="19"/>
    <w:qFormat/>
    <w:uiPriority w:val="21"/>
    <w:rPr>
      <w:i/>
      <w:iCs/>
      <w:color w:val="2F5496"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customStyle="1" w:styleId="36">
    <w:name w:val="明显引用 Char"/>
    <w:basedOn w:val="19"/>
    <w:link w:val="35"/>
    <w:qFormat/>
    <w:uiPriority w:val="30"/>
    <w:rPr>
      <w:i/>
      <w:iCs/>
      <w:color w:val="2F5496" w:themeColor="accent1" w:themeShade="BF"/>
    </w:rPr>
  </w:style>
  <w:style w:type="character" w:customStyle="1" w:styleId="37">
    <w:name w:val="明显参考1"/>
    <w:basedOn w:val="19"/>
    <w:qFormat/>
    <w:uiPriority w:val="32"/>
    <w:rPr>
      <w:b/>
      <w:bCs/>
      <w:smallCaps/>
      <w:color w:val="2F5496" w:themeColor="accent1" w:themeShade="BF"/>
      <w:spacing w:val="5"/>
    </w:rPr>
  </w:style>
  <w:style w:type="character" w:customStyle="1" w:styleId="38">
    <w:name w:val="页眉 Char"/>
    <w:basedOn w:val="19"/>
    <w:link w:val="14"/>
    <w:qFormat/>
    <w:uiPriority w:val="99"/>
    <w:rPr>
      <w:sz w:val="18"/>
      <w:szCs w:val="18"/>
    </w:rPr>
  </w:style>
  <w:style w:type="character" w:customStyle="1" w:styleId="39">
    <w:name w:val="页脚 Char"/>
    <w:basedOn w:val="19"/>
    <w:link w:val="13"/>
    <w:qFormat/>
    <w:uiPriority w:val="99"/>
    <w:rPr>
      <w:sz w:val="18"/>
      <w:szCs w:val="18"/>
    </w:rPr>
  </w:style>
  <w:style w:type="character" w:customStyle="1" w:styleId="40">
    <w:name w:val="批注框文本 Char"/>
    <w:basedOn w:val="19"/>
    <w:link w:val="1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4210</Words>
  <Characters>4290</Characters>
  <Lines>45</Lines>
  <Paragraphs>12</Paragraphs>
  <TotalTime>27</TotalTime>
  <ScaleCrop>false</ScaleCrop>
  <LinksUpToDate>false</LinksUpToDate>
  <CharactersWithSpaces>4290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2026-04-18T07:09:00Z</dcterms:created>
  <dc:creator>Administrator</dc:creator>
  <cp:lastModifiedBy>WPS_1608520253</cp:lastModifiedBy>
  <dcterms:modified xsi:type="dcterms:W3CDTF">2026-04-30T07:40:34Z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D52C05ABA9E84A5EB85B46B9C53DC250_13</vt:lpwstr>
  </property>
  <property fmtid="{D5CDD505-2E9C-101B-9397-08002B2CF9AE}" pid="4" name="KSOTemplateDocerSaveRecord">
    <vt:lpwstr>eyJoZGlkIjoiODdmMjE1ZjM0N2M1Y2U5Yzk0NzI4OGI1OWY1MWIzNDQiLCJ1c2VySWQiOiIxMTUzNTY4MjM0In0=</vt:lpwstr>
  </property>
</Properties>
</file>