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174BF">
      <w:pPr>
        <w:jc w:val="center"/>
        <w:rPr>
          <w:rFonts w:hint="eastAsia"/>
          <w:lang w:eastAsia="zh-CN"/>
        </w:rPr>
      </w:pPr>
      <w:bookmarkStart w:id="0" w:name="_GoBack"/>
      <w:bookmarkEnd w:id="0"/>
      <w:r>
        <w:rPr>
          <w:rFonts w:hint="eastAsia" w:ascii="黑体" w:hAnsi="黑体" w:eastAsia="黑体"/>
          <w:sz w:val="44"/>
          <w:szCs w:val="44"/>
        </w:rPr>
        <w:t>采购需求</w:t>
      </w:r>
      <w:r>
        <w:rPr>
          <w:rFonts w:hint="eastAsia" w:ascii="黑体" w:hAnsi="黑体" w:eastAsia="黑体"/>
          <w:sz w:val="44"/>
          <w:szCs w:val="44"/>
          <w:lang w:val="en-US" w:eastAsia="zh-CN"/>
        </w:rPr>
        <w:t>书</w:t>
      </w:r>
    </w:p>
    <w:p w14:paraId="23FB4CFD">
      <w:pPr>
        <w:jc w:val="both"/>
        <w:rPr>
          <w:rFonts w:hint="default"/>
          <w:sz w:val="32"/>
          <w:szCs w:val="32"/>
          <w:lang w:val="en-US" w:eastAsia="zh-CN"/>
        </w:rPr>
      </w:pPr>
      <w:r>
        <w:rPr>
          <w:rFonts w:hint="eastAsia" w:ascii="黑体" w:hAnsi="黑体" w:eastAsia="黑体"/>
          <w:sz w:val="32"/>
          <w:szCs w:val="32"/>
          <w:lang w:val="en-US" w:eastAsia="zh-CN"/>
        </w:rPr>
        <w:t>一、项目基本情况</w:t>
      </w:r>
    </w:p>
    <w:tbl>
      <w:tblPr>
        <w:tblStyle w:val="10"/>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72"/>
        <w:gridCol w:w="6538"/>
      </w:tblGrid>
      <w:tr w14:paraId="0D03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472" w:type="dxa"/>
            <w:tcBorders>
              <w:bottom w:val="single" w:color="auto" w:sz="4" w:space="0"/>
            </w:tcBorders>
            <w:vAlign w:val="center"/>
          </w:tcPr>
          <w:p w14:paraId="4D0A20BF">
            <w:pPr>
              <w:spacing w:line="360" w:lineRule="auto"/>
              <w:jc w:val="center"/>
              <w:rPr>
                <w:rFonts w:hint="eastAsia" w:ascii="仿宋" w:hAnsi="仿宋" w:eastAsia="仿宋"/>
                <w:b/>
                <w:sz w:val="28"/>
                <w:szCs w:val="28"/>
                <w:lang w:val="en-US" w:eastAsia="zh-CN"/>
              </w:rPr>
            </w:pPr>
            <w:r>
              <w:rPr>
                <w:rFonts w:hint="eastAsia" w:ascii="仿宋" w:hAnsi="仿宋" w:eastAsia="仿宋"/>
                <w:b/>
                <w:sz w:val="28"/>
                <w:szCs w:val="28"/>
              </w:rPr>
              <w:t>采购项目名称</w:t>
            </w:r>
          </w:p>
        </w:tc>
        <w:tc>
          <w:tcPr>
            <w:tcW w:w="6538" w:type="dxa"/>
            <w:tcBorders>
              <w:bottom w:val="single" w:color="auto" w:sz="4" w:space="0"/>
            </w:tcBorders>
            <w:vAlign w:val="center"/>
          </w:tcPr>
          <w:p w14:paraId="145C4550">
            <w:pPr>
              <w:pStyle w:val="4"/>
              <w:ind w:firstLine="241" w:firstLineChars="1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sz w:val="24"/>
                <w:szCs w:val="24"/>
                <w:lang w:eastAsia="zh-CN"/>
              </w:rPr>
              <w:t>中山市第三人民医院2025年医疗设备购置项目</w:t>
            </w:r>
          </w:p>
        </w:tc>
      </w:tr>
    </w:tbl>
    <w:p w14:paraId="16E1EDCF">
      <w:pPr>
        <w:pStyle w:val="20"/>
        <w:widowControl/>
        <w:numPr>
          <w:ilvl w:val="0"/>
          <w:numId w:val="0"/>
        </w:numPr>
        <w:spacing w:line="360" w:lineRule="auto"/>
        <w:ind w:left="720" w:leftChars="0" w:hanging="720" w:firstLineChars="0"/>
        <w:jc w:val="left"/>
        <w:rPr>
          <w:rFonts w:ascii="黑体" w:hAnsi="黑体" w:cs="Helvetica Neue"/>
          <w:b/>
          <w:color w:val="000000" w:themeColor="text1"/>
          <w:kern w:val="0"/>
          <w:sz w:val="32"/>
          <w:szCs w:val="32"/>
          <w14:textFill>
            <w14:solidFill>
              <w14:schemeClr w14:val="tx1"/>
            </w14:solidFill>
          </w14:textFill>
        </w:rPr>
      </w:pPr>
      <w:r>
        <w:rPr>
          <w:rFonts w:hint="eastAsia" w:ascii="黑体" w:hAnsi="黑体" w:cs="Helvetica Neue"/>
          <w:b/>
          <w:bCs/>
          <w:color w:val="000000" w:themeColor="text1"/>
          <w:kern w:val="0"/>
          <w:sz w:val="32"/>
          <w:szCs w:val="32"/>
          <w:lang w:val="en-US" w:eastAsia="zh-CN" w:bidi="ar-SA"/>
          <w14:textFill>
            <w14:solidFill>
              <w14:schemeClr w14:val="tx1"/>
            </w14:solidFill>
          </w14:textFill>
        </w:rPr>
        <w:t>二</w:t>
      </w:r>
      <w:r>
        <w:rPr>
          <w:rFonts w:hint="default" w:ascii="黑体" w:hAnsi="黑体" w:eastAsia="黑体" w:cs="Helvetica Neue"/>
          <w:b/>
          <w:bCs/>
          <w:color w:val="000000" w:themeColor="text1"/>
          <w:kern w:val="0"/>
          <w:sz w:val="32"/>
          <w:szCs w:val="32"/>
          <w:lang w:val="en-US" w:eastAsia="zh-CN" w:bidi="ar-SA"/>
          <w14:textFill>
            <w14:solidFill>
              <w14:schemeClr w14:val="tx1"/>
            </w14:solidFill>
          </w14:textFill>
        </w:rPr>
        <w:t>、</w:t>
      </w:r>
      <w:r>
        <w:rPr>
          <w:rFonts w:hint="eastAsia" w:ascii="黑体" w:hAnsi="黑体" w:cs="Helvetica Neue"/>
          <w:b/>
          <w:color w:val="000000" w:themeColor="text1"/>
          <w:kern w:val="0"/>
          <w:sz w:val="32"/>
          <w:szCs w:val="32"/>
          <w14:textFill>
            <w14:solidFill>
              <w14:schemeClr w14:val="tx1"/>
            </w14:solidFill>
          </w14:textFill>
        </w:rPr>
        <w:t>采购需求</w:t>
      </w:r>
    </w:p>
    <w:p w14:paraId="727CA626">
      <w:pPr>
        <w:spacing w:line="360" w:lineRule="auto"/>
        <w:rPr>
          <w:rFonts w:hint="eastAsia"/>
        </w:rPr>
      </w:pPr>
      <w:r>
        <w:rPr>
          <w:rFonts w:hint="eastAsia" w:ascii="仿宋" w:hAnsi="仿宋" w:eastAsia="仿宋"/>
          <w:sz w:val="32"/>
          <w:szCs w:val="32"/>
        </w:rPr>
        <w:t>（一）</w:t>
      </w:r>
      <w:r>
        <w:rPr>
          <w:rFonts w:hint="eastAsia" w:ascii="仿宋" w:hAnsi="仿宋" w:eastAsia="仿宋"/>
          <w:sz w:val="32"/>
          <w:szCs w:val="32"/>
          <w:lang w:val="en-US" w:eastAsia="zh-CN"/>
        </w:rPr>
        <w:t>采购标的（含货物、服务、工程，货物类标的应具体明确货物名称）</w:t>
      </w:r>
      <w:r>
        <w:rPr>
          <w:rFonts w:hint="eastAsia" w:ascii="仿宋" w:hAnsi="仿宋" w:eastAsia="仿宋"/>
          <w:sz w:val="32"/>
          <w:szCs w:val="32"/>
        </w:rPr>
        <w:t>：</w:t>
      </w:r>
    </w:p>
    <w:tbl>
      <w:tblPr>
        <w:tblStyle w:val="10"/>
        <w:tblW w:w="9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05"/>
        <w:gridCol w:w="1163"/>
        <w:gridCol w:w="904"/>
        <w:gridCol w:w="4715"/>
        <w:gridCol w:w="857"/>
      </w:tblGrid>
      <w:tr w14:paraId="3BC9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675" w:type="dxa"/>
            <w:shd w:val="clear" w:color="auto" w:fill="FFFFFF"/>
            <w:tcMar>
              <w:top w:w="0" w:type="dxa"/>
              <w:right w:w="0" w:type="dxa"/>
            </w:tcMar>
            <w:vAlign w:val="center"/>
          </w:tcPr>
          <w:p w14:paraId="28E40FC3">
            <w:pPr>
              <w:autoSpaceDE w:val="0"/>
              <w:autoSpaceDN w:val="0"/>
              <w:adjustRightInd w:val="0"/>
              <w:spacing w:line="360" w:lineRule="auto"/>
              <w:jc w:val="both"/>
              <w:rPr>
                <w:rFonts w:ascii="仿宋" w:hAnsi="仿宋" w:eastAsia="仿宋" w:cs="Cabin-Regular"/>
                <w:color w:val="000000" w:themeColor="text1"/>
                <w:kern w:val="0"/>
                <w:sz w:val="28"/>
                <w:szCs w:val="28"/>
                <w14:textFill>
                  <w14:solidFill>
                    <w14:schemeClr w14:val="tx1"/>
                  </w14:solidFill>
                </w14:textFill>
              </w:rPr>
            </w:pPr>
            <w:r>
              <w:rPr>
                <w:rFonts w:hint="eastAsia" w:ascii="仿宋" w:hAnsi="仿宋" w:eastAsia="仿宋" w:cs="Helvetica Neue"/>
                <w:color w:val="000000" w:themeColor="text1"/>
                <w:kern w:val="0"/>
                <w:sz w:val="28"/>
                <w:szCs w:val="28"/>
                <w14:textFill>
                  <w14:solidFill>
                    <w14:schemeClr w14:val="tx1"/>
                  </w14:solidFill>
                </w14:textFill>
              </w:rPr>
              <w:t>序号</w:t>
            </w:r>
          </w:p>
        </w:tc>
        <w:tc>
          <w:tcPr>
            <w:tcW w:w="1505" w:type="dxa"/>
            <w:shd w:val="clear" w:color="auto" w:fill="FFFFFF"/>
            <w:tcMar>
              <w:top w:w="0" w:type="dxa"/>
              <w:right w:w="0" w:type="dxa"/>
            </w:tcMar>
            <w:vAlign w:val="center"/>
          </w:tcPr>
          <w:p w14:paraId="588BEEF6">
            <w:pPr>
              <w:autoSpaceDE w:val="0"/>
              <w:autoSpaceDN w:val="0"/>
              <w:adjustRightInd w:val="0"/>
              <w:spacing w:line="360" w:lineRule="auto"/>
              <w:jc w:val="center"/>
              <w:rPr>
                <w:rFonts w:hint="eastAsia" w:eastAsia="仿宋"/>
                <w:lang w:eastAsia="zh-CN"/>
              </w:rPr>
            </w:pPr>
            <w:r>
              <w:rPr>
                <w:rFonts w:hint="eastAsia" w:ascii="仿宋" w:hAnsi="仿宋" w:eastAsia="仿宋" w:cs="Helvetica Neue"/>
                <w:color w:val="000000" w:themeColor="text1"/>
                <w:kern w:val="0"/>
                <w:sz w:val="28"/>
                <w:szCs w:val="28"/>
                <w:lang w:val="en-US" w:eastAsia="zh-CN"/>
                <w14:textFill>
                  <w14:solidFill>
                    <w14:schemeClr w14:val="tx1"/>
                  </w14:solidFill>
                </w14:textFill>
              </w:rPr>
              <w:t>标的</w:t>
            </w:r>
            <w:r>
              <w:rPr>
                <w:rFonts w:hint="eastAsia" w:ascii="仿宋" w:hAnsi="仿宋" w:eastAsia="仿宋" w:cs="Helvetica Neue"/>
                <w:color w:val="000000" w:themeColor="text1"/>
                <w:kern w:val="0"/>
                <w:sz w:val="28"/>
                <w:szCs w:val="28"/>
                <w14:textFill>
                  <w14:solidFill>
                    <w14:schemeClr w14:val="tx1"/>
                  </w14:solidFill>
                </w14:textFill>
              </w:rPr>
              <w:t>名称</w:t>
            </w:r>
          </w:p>
        </w:tc>
        <w:tc>
          <w:tcPr>
            <w:tcW w:w="1163" w:type="dxa"/>
            <w:shd w:val="clear" w:color="auto" w:fill="FFFFFF"/>
            <w:tcMar>
              <w:top w:w="0" w:type="dxa"/>
              <w:right w:w="0" w:type="dxa"/>
            </w:tcMar>
            <w:vAlign w:val="center"/>
          </w:tcPr>
          <w:p w14:paraId="731E0B1B">
            <w:pPr>
              <w:autoSpaceDE w:val="0"/>
              <w:autoSpaceDN w:val="0"/>
              <w:adjustRightInd w:val="0"/>
              <w:spacing w:line="360" w:lineRule="auto"/>
              <w:jc w:val="center"/>
              <w:rPr>
                <w:rFonts w:hint="eastAsia" w:ascii="仿宋" w:hAnsi="仿宋" w:eastAsia="仿宋" w:cs="Cabin-Regular"/>
                <w:color w:val="000000" w:themeColor="text1"/>
                <w:kern w:val="0"/>
                <w:sz w:val="28"/>
                <w:szCs w:val="28"/>
                <w:lang w:val="en-US" w:eastAsia="zh-CN"/>
                <w14:textFill>
                  <w14:solidFill>
                    <w14:schemeClr w14:val="tx1"/>
                  </w14:solidFill>
                </w14:textFill>
              </w:rPr>
            </w:pPr>
            <w:r>
              <w:rPr>
                <w:rFonts w:hint="eastAsia" w:ascii="仿宋" w:hAnsi="仿宋" w:eastAsia="仿宋" w:cs="Cabin-Regular"/>
                <w:color w:val="000000" w:themeColor="text1"/>
                <w:kern w:val="0"/>
                <w:sz w:val="28"/>
                <w:szCs w:val="28"/>
                <w:lang w:val="en-US" w:eastAsia="zh-CN"/>
                <w14:textFill>
                  <w14:solidFill>
                    <w14:schemeClr w14:val="tx1"/>
                  </w14:solidFill>
                </w14:textFill>
              </w:rPr>
              <w:t>单位（项、个、批、台等）</w:t>
            </w:r>
          </w:p>
        </w:tc>
        <w:tc>
          <w:tcPr>
            <w:tcW w:w="904" w:type="dxa"/>
            <w:shd w:val="clear" w:color="auto" w:fill="FFFFFF"/>
            <w:tcMar>
              <w:top w:w="0" w:type="dxa"/>
              <w:right w:w="0" w:type="dxa"/>
            </w:tcMar>
            <w:vAlign w:val="center"/>
          </w:tcPr>
          <w:p w14:paraId="3162686F">
            <w:pPr>
              <w:autoSpaceDE w:val="0"/>
              <w:autoSpaceDN w:val="0"/>
              <w:adjustRightInd w:val="0"/>
              <w:spacing w:line="360" w:lineRule="auto"/>
              <w:jc w:val="center"/>
              <w:rPr>
                <w:rFonts w:hint="eastAsia" w:ascii="仿宋" w:hAnsi="仿宋" w:eastAsia="仿宋" w:cs="Cabin-Regular"/>
                <w:color w:val="000000" w:themeColor="text1"/>
                <w:kern w:val="0"/>
                <w:sz w:val="28"/>
                <w:szCs w:val="28"/>
                <w:lang w:eastAsia="zh-CN"/>
                <w14:textFill>
                  <w14:solidFill>
                    <w14:schemeClr w14:val="tx1"/>
                  </w14:solidFill>
                </w14:textFill>
              </w:rPr>
            </w:pPr>
            <w:r>
              <w:rPr>
                <w:rFonts w:hint="eastAsia" w:ascii="仿宋" w:hAnsi="仿宋" w:eastAsia="仿宋" w:cs="Helvetica Neue"/>
                <w:color w:val="000000" w:themeColor="text1"/>
                <w:kern w:val="0"/>
                <w:sz w:val="28"/>
                <w:szCs w:val="28"/>
                <w:lang w:val="en-US" w:eastAsia="zh-CN"/>
                <w14:textFill>
                  <w14:solidFill>
                    <w14:schemeClr w14:val="tx1"/>
                  </w14:solidFill>
                </w14:textFill>
              </w:rPr>
              <w:t>数量</w:t>
            </w:r>
          </w:p>
        </w:tc>
        <w:tc>
          <w:tcPr>
            <w:tcW w:w="4715" w:type="dxa"/>
            <w:shd w:val="clear" w:color="auto" w:fill="FFFFFF"/>
            <w:tcMar>
              <w:top w:w="0" w:type="dxa"/>
              <w:right w:w="0" w:type="dxa"/>
            </w:tcMar>
            <w:vAlign w:val="center"/>
          </w:tcPr>
          <w:p w14:paraId="3AFD767F">
            <w:pPr>
              <w:autoSpaceDE w:val="0"/>
              <w:autoSpaceDN w:val="0"/>
              <w:adjustRightInd w:val="0"/>
              <w:spacing w:line="360" w:lineRule="auto"/>
              <w:jc w:val="center"/>
              <w:rPr>
                <w:rFonts w:hint="default" w:ascii="仿宋" w:hAnsi="仿宋" w:eastAsia="仿宋" w:cs="Cabin-Regular"/>
                <w:color w:val="000000" w:themeColor="text1"/>
                <w:kern w:val="0"/>
                <w:sz w:val="28"/>
                <w:szCs w:val="28"/>
                <w:lang w:val="en-US" w:eastAsia="zh-CN"/>
                <w14:textFill>
                  <w14:solidFill>
                    <w14:schemeClr w14:val="tx1"/>
                  </w14:solidFill>
                </w14:textFill>
              </w:rPr>
            </w:pPr>
            <w:r>
              <w:rPr>
                <w:rFonts w:hint="eastAsia" w:ascii="仿宋" w:hAnsi="仿宋" w:eastAsia="仿宋" w:cs="Cabin-Regular"/>
                <w:color w:val="000000" w:themeColor="text1"/>
                <w:kern w:val="0"/>
                <w:sz w:val="28"/>
                <w:szCs w:val="28"/>
                <w:lang w:val="en-US" w:eastAsia="zh-CN"/>
                <w14:textFill>
                  <w14:solidFill>
                    <w14:schemeClr w14:val="tx1"/>
                  </w14:solidFill>
                </w14:textFill>
              </w:rPr>
              <w:t>参数规格要求</w:t>
            </w:r>
          </w:p>
        </w:tc>
        <w:tc>
          <w:tcPr>
            <w:tcW w:w="857" w:type="dxa"/>
            <w:shd w:val="clear" w:color="auto" w:fill="FFFFFF"/>
            <w:tcMar>
              <w:top w:w="0" w:type="dxa"/>
              <w:right w:w="0" w:type="dxa"/>
            </w:tcMar>
            <w:vAlign w:val="center"/>
          </w:tcPr>
          <w:p w14:paraId="7DD6ED44">
            <w:pPr>
              <w:autoSpaceDE w:val="0"/>
              <w:autoSpaceDN w:val="0"/>
              <w:adjustRightInd w:val="0"/>
              <w:spacing w:line="360" w:lineRule="auto"/>
              <w:jc w:val="center"/>
              <w:rPr>
                <w:rFonts w:hint="eastAsia" w:ascii="仿宋" w:hAnsi="仿宋" w:eastAsia="仿宋" w:cs="Cabin-Regular"/>
                <w:color w:val="000000" w:themeColor="text1"/>
                <w:kern w:val="0"/>
                <w:sz w:val="28"/>
                <w:szCs w:val="28"/>
                <w:lang w:eastAsia="zh-CN"/>
                <w14:textFill>
                  <w14:solidFill>
                    <w14:schemeClr w14:val="tx1"/>
                  </w14:solidFill>
                </w14:textFill>
              </w:rPr>
            </w:pPr>
            <w:r>
              <w:rPr>
                <w:rFonts w:hint="eastAsia" w:ascii="仿宋" w:hAnsi="仿宋" w:eastAsia="仿宋" w:cs="Helvetica Neue"/>
                <w:color w:val="000000" w:themeColor="text1"/>
                <w:kern w:val="0"/>
                <w:sz w:val="28"/>
                <w:szCs w:val="28"/>
                <w:lang w:val="en-US" w:eastAsia="zh-CN"/>
                <w14:textFill>
                  <w14:solidFill>
                    <w14:schemeClr w14:val="tx1"/>
                  </w14:solidFill>
                </w14:textFill>
              </w:rPr>
              <w:t>其他</w:t>
            </w:r>
          </w:p>
        </w:tc>
      </w:tr>
      <w:tr w14:paraId="692E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7" w:hRule="atLeast"/>
          <w:jc w:val="center"/>
        </w:trPr>
        <w:tc>
          <w:tcPr>
            <w:tcW w:w="675" w:type="dxa"/>
            <w:shd w:val="clear" w:color="auto" w:fill="FFFFFF"/>
            <w:tcMar>
              <w:top w:w="0" w:type="dxa"/>
              <w:right w:w="0" w:type="dxa"/>
            </w:tcMar>
            <w:vAlign w:val="center"/>
          </w:tcPr>
          <w:p w14:paraId="5A5667D2">
            <w:pPr>
              <w:autoSpaceDE w:val="0"/>
              <w:autoSpaceDN w:val="0"/>
              <w:adjustRightInd w:val="0"/>
              <w:spacing w:line="360" w:lineRule="auto"/>
              <w:jc w:val="center"/>
              <w:rPr>
                <w:rFonts w:hint="eastAsia" w:ascii="仿宋" w:hAnsi="仿宋" w:eastAsia="仿宋" w:cs="Cabin-Regular"/>
                <w:color w:val="5E6B87"/>
                <w:kern w:val="0"/>
                <w:sz w:val="32"/>
                <w:szCs w:val="32"/>
                <w:lang w:val="en-US" w:eastAsia="zh-CN"/>
              </w:rPr>
            </w:pPr>
            <w:r>
              <w:rPr>
                <w:rFonts w:hint="eastAsia" w:ascii="仿宋" w:hAnsi="仿宋" w:eastAsia="仿宋" w:cs="Cabin-Regular"/>
                <w:color w:val="5E6B87"/>
                <w:kern w:val="0"/>
                <w:sz w:val="32"/>
                <w:szCs w:val="32"/>
                <w:lang w:val="en-US" w:eastAsia="zh-CN"/>
              </w:rPr>
              <w:t>1</w:t>
            </w:r>
          </w:p>
        </w:tc>
        <w:tc>
          <w:tcPr>
            <w:tcW w:w="1505" w:type="dxa"/>
            <w:shd w:val="clear" w:color="auto" w:fill="FFFFFF"/>
            <w:tcMar>
              <w:top w:w="0" w:type="dxa"/>
              <w:right w:w="0" w:type="dxa"/>
            </w:tcMar>
            <w:vAlign w:val="center"/>
          </w:tcPr>
          <w:p w14:paraId="27591AEA">
            <w:pPr>
              <w:autoSpaceDE w:val="0"/>
              <w:autoSpaceDN w:val="0"/>
              <w:adjustRightInd w:val="0"/>
              <w:spacing w:line="360" w:lineRule="auto"/>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eastAsia="zh-CN"/>
              </w:rPr>
              <w:t>磁刺激仪</w:t>
            </w:r>
          </w:p>
        </w:tc>
        <w:tc>
          <w:tcPr>
            <w:tcW w:w="1163" w:type="dxa"/>
            <w:shd w:val="clear" w:color="auto" w:fill="FFFFFF"/>
            <w:tcMar>
              <w:top w:w="0" w:type="dxa"/>
              <w:right w:w="0" w:type="dxa"/>
            </w:tcMar>
            <w:vAlign w:val="center"/>
          </w:tcPr>
          <w:p w14:paraId="275ED6B3">
            <w:pPr>
              <w:autoSpaceDE w:val="0"/>
              <w:autoSpaceDN w:val="0"/>
              <w:adjustRightInd w:val="0"/>
              <w:spacing w:line="360" w:lineRule="auto"/>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台</w:t>
            </w:r>
          </w:p>
        </w:tc>
        <w:tc>
          <w:tcPr>
            <w:tcW w:w="904" w:type="dxa"/>
            <w:shd w:val="clear" w:color="auto" w:fill="FFFFFF"/>
            <w:tcMar>
              <w:top w:w="0" w:type="dxa"/>
              <w:right w:w="0" w:type="dxa"/>
            </w:tcMar>
            <w:vAlign w:val="center"/>
          </w:tcPr>
          <w:p w14:paraId="3CF127BD">
            <w:pPr>
              <w:autoSpaceDE w:val="0"/>
              <w:autoSpaceDN w:val="0"/>
              <w:adjustRightInd w:val="0"/>
              <w:spacing w:line="360" w:lineRule="auto"/>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w:t>
            </w:r>
          </w:p>
        </w:tc>
        <w:tc>
          <w:tcPr>
            <w:tcW w:w="4715" w:type="dxa"/>
            <w:shd w:val="clear" w:color="auto" w:fill="auto"/>
            <w:tcMar>
              <w:top w:w="0" w:type="dxa"/>
              <w:right w:w="0" w:type="dxa"/>
            </w:tcMar>
            <w:vAlign w:val="center"/>
          </w:tcPr>
          <w:p w14:paraId="5EEE5BFC">
            <w:pPr>
              <w:keepNext w:val="0"/>
              <w:keepLines w:val="0"/>
              <w:widowControl/>
              <w:suppressLineNumbers w:val="0"/>
              <w:ind w:firstLine="0" w:firstLineChars="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1.设备取得医疗器械注册证并且医疗器械注册证的适用范围满足用于人体中枢神经刺激和外周神经刺激，用于神经电生理检查。配合药物，用于心境障碍、焦虑、失眠及性症状的辅助治疗。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2.双通道，可同时治疗两个病人；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3.输出脉冲重复频率：0.01Hz～100Hz可调；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4.设备设计使用年限≥10年（以设备铭牌为准）；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5.配两套8字形刺激线圈和一套深部线圈。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w:t>
            </w:r>
          </w:p>
        </w:tc>
        <w:tc>
          <w:tcPr>
            <w:tcW w:w="857" w:type="dxa"/>
            <w:shd w:val="clear" w:color="auto" w:fill="FFFFFF"/>
            <w:tcMar>
              <w:top w:w="0" w:type="dxa"/>
              <w:right w:w="0" w:type="dxa"/>
            </w:tcMar>
            <w:vAlign w:val="center"/>
          </w:tcPr>
          <w:p w14:paraId="5885F638">
            <w:pPr>
              <w:autoSpaceDE w:val="0"/>
              <w:autoSpaceDN w:val="0"/>
              <w:adjustRightInd w:val="0"/>
              <w:spacing w:line="360" w:lineRule="auto"/>
              <w:jc w:val="center"/>
              <w:rPr>
                <w:rFonts w:hint="eastAsia" w:ascii="宋体" w:hAnsi="宋体" w:eastAsia="宋体" w:cs="宋体"/>
                <w:color w:val="auto"/>
                <w:kern w:val="0"/>
                <w:sz w:val="18"/>
                <w:szCs w:val="18"/>
              </w:rPr>
            </w:pPr>
          </w:p>
        </w:tc>
      </w:tr>
      <w:tr w14:paraId="571F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5" w:hRule="atLeast"/>
          <w:jc w:val="center"/>
        </w:trPr>
        <w:tc>
          <w:tcPr>
            <w:tcW w:w="675" w:type="dxa"/>
            <w:shd w:val="clear" w:color="auto" w:fill="FFFFFF"/>
            <w:tcMar>
              <w:top w:w="0" w:type="dxa"/>
              <w:right w:w="0" w:type="dxa"/>
            </w:tcMar>
            <w:vAlign w:val="center"/>
          </w:tcPr>
          <w:p w14:paraId="2654B48C">
            <w:pPr>
              <w:autoSpaceDE w:val="0"/>
              <w:autoSpaceDN w:val="0"/>
              <w:adjustRightInd w:val="0"/>
              <w:spacing w:line="360" w:lineRule="auto"/>
              <w:jc w:val="center"/>
              <w:rPr>
                <w:rFonts w:hint="eastAsia" w:ascii="仿宋" w:hAnsi="仿宋" w:eastAsia="仿宋" w:cs="Cabin-Regular"/>
                <w:color w:val="5E6B87"/>
                <w:kern w:val="0"/>
                <w:sz w:val="32"/>
                <w:szCs w:val="32"/>
                <w:lang w:val="en-US" w:eastAsia="zh-CN"/>
              </w:rPr>
            </w:pPr>
            <w:r>
              <w:rPr>
                <w:rFonts w:hint="eastAsia" w:ascii="仿宋" w:hAnsi="仿宋" w:eastAsia="仿宋" w:cs="Cabin-Regular"/>
                <w:color w:val="5E6B87"/>
                <w:kern w:val="0"/>
                <w:sz w:val="32"/>
                <w:szCs w:val="32"/>
                <w:lang w:val="en-US" w:eastAsia="zh-CN"/>
              </w:rPr>
              <w:t>2</w:t>
            </w:r>
          </w:p>
        </w:tc>
        <w:tc>
          <w:tcPr>
            <w:tcW w:w="1505" w:type="dxa"/>
            <w:shd w:val="clear" w:color="auto" w:fill="FFFFFF"/>
            <w:tcMar>
              <w:top w:w="0" w:type="dxa"/>
              <w:right w:w="0" w:type="dxa"/>
            </w:tcMar>
            <w:vAlign w:val="center"/>
          </w:tcPr>
          <w:p w14:paraId="1315E271">
            <w:pPr>
              <w:autoSpaceDE w:val="0"/>
              <w:autoSpaceDN w:val="0"/>
              <w:adjustRightInd w:val="0"/>
              <w:spacing w:line="360" w:lineRule="auto"/>
              <w:jc w:val="center"/>
              <w:rPr>
                <w:rFonts w:hint="eastAsia" w:ascii="宋体" w:hAnsi="宋体" w:eastAsia="宋体" w:cs="宋体"/>
                <w:color w:val="auto"/>
                <w:kern w:val="0"/>
                <w:sz w:val="18"/>
                <w:szCs w:val="18"/>
              </w:rPr>
            </w:pPr>
            <w:r>
              <w:rPr>
                <w:rFonts w:hint="eastAsia" w:ascii="宋体" w:hAnsi="宋体" w:eastAsia="宋体" w:cs="宋体"/>
                <w:sz w:val="18"/>
                <w:szCs w:val="18"/>
                <w:lang w:eastAsia="zh-CN"/>
              </w:rPr>
              <w:t>眼动检测系统</w:t>
            </w:r>
          </w:p>
        </w:tc>
        <w:tc>
          <w:tcPr>
            <w:tcW w:w="1163" w:type="dxa"/>
            <w:shd w:val="clear" w:color="auto" w:fill="FFFFFF"/>
            <w:tcMar>
              <w:top w:w="0" w:type="dxa"/>
              <w:right w:w="0" w:type="dxa"/>
            </w:tcMar>
            <w:vAlign w:val="center"/>
          </w:tcPr>
          <w:p w14:paraId="39ED586E">
            <w:pPr>
              <w:autoSpaceDE w:val="0"/>
              <w:autoSpaceDN w:val="0"/>
              <w:adjustRightInd w:val="0"/>
              <w:spacing w:line="360" w:lineRule="auto"/>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台</w:t>
            </w:r>
          </w:p>
        </w:tc>
        <w:tc>
          <w:tcPr>
            <w:tcW w:w="904" w:type="dxa"/>
            <w:shd w:val="clear" w:color="auto" w:fill="FFFFFF"/>
            <w:tcMar>
              <w:top w:w="0" w:type="dxa"/>
              <w:right w:w="0" w:type="dxa"/>
            </w:tcMar>
            <w:vAlign w:val="center"/>
          </w:tcPr>
          <w:p w14:paraId="2292F5D2">
            <w:pPr>
              <w:autoSpaceDE w:val="0"/>
              <w:autoSpaceDN w:val="0"/>
              <w:adjustRightInd w:val="0"/>
              <w:spacing w:line="360" w:lineRule="auto"/>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w:t>
            </w:r>
          </w:p>
        </w:tc>
        <w:tc>
          <w:tcPr>
            <w:tcW w:w="4715" w:type="dxa"/>
            <w:shd w:val="clear" w:color="auto" w:fill="FFFFFF"/>
            <w:tcMar>
              <w:top w:w="0" w:type="dxa"/>
              <w:right w:w="0" w:type="dxa"/>
            </w:tcMar>
            <w:vAlign w:val="center"/>
          </w:tcPr>
          <w:p w14:paraId="00C864A2">
            <w:pPr>
              <w:numPr>
                <w:ilvl w:val="0"/>
                <w:numId w:val="1"/>
              </w:numPr>
              <w:autoSpaceDE w:val="0"/>
              <w:autoSpaceDN w:val="0"/>
              <w:adjustRightInd w:val="0"/>
              <w:spacing w:line="360" w:lineRule="auto"/>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取得医疗器械注册证并且医疗器械注册证的适用范围满足用于精神分裂症的辅助诊断，阿尔茨海默病（老年性痴呆）的早期筛选;记录眼球活动轨迹和瞳孔大小变化，支持神经电生理检查及神经、精神疾病的辅助诊断;配合药物或其他治疗，进行疾病进展监测及疗效评估。</w:t>
            </w:r>
          </w:p>
          <w:p w14:paraId="6AB967D5">
            <w:pPr>
              <w:numPr>
                <w:ilvl w:val="-1"/>
                <w:numId w:val="0"/>
              </w:numPr>
              <w:autoSpaceDE w:val="0"/>
              <w:autoSpaceDN w:val="0"/>
              <w:adjustRightInd w:val="0"/>
              <w:spacing w:line="360" w:lineRule="auto"/>
              <w:jc w:val="left"/>
              <w:rPr>
                <w:rFonts w:hint="eastAsia" w:ascii="宋体" w:hAnsi="宋体" w:eastAsia="宋体" w:cs="宋体"/>
                <w:color w:val="auto"/>
                <w:kern w:val="0"/>
                <w:sz w:val="18"/>
                <w:szCs w:val="18"/>
              </w:rPr>
            </w:pPr>
            <w:r>
              <w:rPr>
                <w:rFonts w:hint="eastAsia" w:ascii="宋体" w:hAnsi="宋体" w:eastAsia="宋体" w:cs="宋体"/>
                <w:i w:val="0"/>
                <w:iCs w:val="0"/>
                <w:color w:val="000000"/>
                <w:kern w:val="0"/>
                <w:sz w:val="22"/>
                <w:szCs w:val="22"/>
                <w:u w:val="none"/>
                <w:lang w:val="en-US" w:eastAsia="zh-CN" w:bidi="ar"/>
              </w:rPr>
              <w:t>2.设备设计使用年限≥10年（以设备铭牌为准）。</w:t>
            </w:r>
          </w:p>
        </w:tc>
        <w:tc>
          <w:tcPr>
            <w:tcW w:w="857" w:type="dxa"/>
            <w:shd w:val="clear" w:color="auto" w:fill="FFFFFF"/>
            <w:tcMar>
              <w:top w:w="0" w:type="dxa"/>
              <w:right w:w="0" w:type="dxa"/>
            </w:tcMar>
            <w:vAlign w:val="center"/>
          </w:tcPr>
          <w:p w14:paraId="4EF9B08A">
            <w:pPr>
              <w:autoSpaceDE w:val="0"/>
              <w:autoSpaceDN w:val="0"/>
              <w:adjustRightInd w:val="0"/>
              <w:spacing w:line="360" w:lineRule="auto"/>
              <w:jc w:val="center"/>
              <w:rPr>
                <w:rFonts w:hint="eastAsia" w:ascii="宋体" w:hAnsi="宋体" w:eastAsia="宋体" w:cs="宋体"/>
                <w:color w:val="auto"/>
                <w:kern w:val="0"/>
                <w:sz w:val="18"/>
                <w:szCs w:val="18"/>
              </w:rPr>
            </w:pPr>
          </w:p>
        </w:tc>
      </w:tr>
    </w:tbl>
    <w:p w14:paraId="342D6A07">
      <w:pPr>
        <w:autoSpaceDE w:val="0"/>
        <w:autoSpaceDN w:val="0"/>
        <w:adjustRightInd w:val="0"/>
        <w:spacing w:line="360" w:lineRule="auto"/>
        <w:jc w:val="left"/>
        <w:rPr>
          <w:rFonts w:ascii="仿宋" w:hAnsi="仿宋" w:eastAsia="仿宋" w:cs="Helvetica Neue"/>
          <w:i/>
          <w:iCs/>
          <w:color w:val="000000" w:themeColor="text1"/>
          <w:kern w:val="0"/>
          <w:sz w:val="24"/>
          <w14:textFill>
            <w14:solidFill>
              <w14:schemeClr w14:val="tx1"/>
            </w14:solidFill>
          </w14:textFill>
        </w:rPr>
        <w:sectPr>
          <w:headerReference r:id="rId3" w:type="default"/>
          <w:footerReference r:id="rId4" w:type="default"/>
          <w:pgSz w:w="11900" w:h="16840"/>
          <w:pgMar w:top="1440" w:right="1800" w:bottom="1440" w:left="1800" w:header="851" w:footer="992" w:gutter="0"/>
          <w:pgNumType w:fmt="decimal"/>
          <w:cols w:space="425" w:num="1"/>
          <w:docGrid w:type="lines" w:linePitch="312" w:charSpace="0"/>
        </w:sectPr>
      </w:pPr>
    </w:p>
    <w:p w14:paraId="13D1AA7F">
      <w:pPr>
        <w:spacing w:line="360" w:lineRule="auto"/>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二</w:t>
      </w:r>
      <w:r>
        <w:rPr>
          <w:rFonts w:hint="eastAsia" w:ascii="仿宋" w:hAnsi="仿宋" w:eastAsia="仿宋"/>
          <w:sz w:val="32"/>
          <w:szCs w:val="32"/>
        </w:rPr>
        <w:t>）</w:t>
      </w:r>
      <w:r>
        <w:rPr>
          <w:rFonts w:hint="eastAsia" w:ascii="仿宋" w:hAnsi="仿宋" w:eastAsia="仿宋"/>
          <w:sz w:val="32"/>
          <w:szCs w:val="40"/>
        </w:rPr>
        <w:t>技术要求（包括</w:t>
      </w:r>
      <w:r>
        <w:rPr>
          <w:rFonts w:hint="eastAsia" w:ascii="仿宋" w:hAnsi="仿宋" w:eastAsia="仿宋"/>
          <w:sz w:val="32"/>
          <w:szCs w:val="40"/>
          <w:lang w:val="en-US" w:eastAsia="zh-CN"/>
        </w:rPr>
        <w:t>不限于</w:t>
      </w:r>
      <w:r>
        <w:rPr>
          <w:rFonts w:hint="eastAsia" w:ascii="仿宋" w:hAnsi="仿宋" w:eastAsia="仿宋"/>
          <w:sz w:val="32"/>
          <w:szCs w:val="40"/>
        </w:rPr>
        <w:t>服务内容和服务标准</w:t>
      </w:r>
      <w:r>
        <w:rPr>
          <w:rFonts w:hint="eastAsia" w:ascii="仿宋" w:hAnsi="仿宋" w:eastAsia="仿宋"/>
          <w:sz w:val="32"/>
          <w:szCs w:val="40"/>
          <w:lang w:eastAsia="zh-CN"/>
        </w:rPr>
        <w:t>，</w:t>
      </w:r>
      <w:r>
        <w:rPr>
          <w:rFonts w:hint="eastAsia" w:ascii="仿宋" w:hAnsi="仿宋" w:eastAsia="仿宋"/>
          <w:sz w:val="32"/>
          <w:szCs w:val="40"/>
          <w:lang w:val="en-US" w:eastAsia="zh-CN"/>
        </w:rPr>
        <w:t>如无要求则填无</w:t>
      </w:r>
      <w:r>
        <w:rPr>
          <w:rFonts w:hint="eastAsia" w:ascii="仿宋" w:hAnsi="仿宋" w:eastAsia="仿宋"/>
          <w:sz w:val="32"/>
          <w:szCs w:val="40"/>
        </w:rPr>
        <w:t>）</w:t>
      </w:r>
      <w:r>
        <w:rPr>
          <w:rFonts w:hint="eastAsia" w:ascii="仿宋" w:hAnsi="仿宋" w:eastAsia="仿宋"/>
          <w:sz w:val="32"/>
          <w:szCs w:val="32"/>
        </w:rPr>
        <w:t>：</w:t>
      </w:r>
    </w:p>
    <w:p w14:paraId="4DC7DCA6">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lang w:val="en-US" w:eastAsia="zh-CN"/>
        </w:rPr>
        <w:t>1.若提供产品属于辐射或射线类的设备或材料的，需提供辐射安全许可证复印件（不适用的情况除外）（复印件加盖投标人单位公章）。所报产品属于医疗器械产品，投标人需要根据国家药品监督管理局设备制造相关管理规定，提供所报产品制造商的医疗器械生产许可证、医疗器械注册证和营业执照（复印件加盖投标人单位公章）。</w:t>
      </w:r>
    </w:p>
    <w:p w14:paraId="2D7775AF">
      <w:pP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lang w:val="en-US" w:eastAsia="zh-CN"/>
        </w:rPr>
        <w:t>2.若提供产品及制造商应符合国家有关部门规定的相应技术、计量、节能、安全和环保法规及标准，如国家有关部门对提供产品或其制造商有强制性规定或要求的，所供产品或其制造商必须符合相应规定或要求，投标人须提供相关证明文件（复印件加盖投标人单位公章）</w:t>
      </w:r>
    </w:p>
    <w:p w14:paraId="0ED6EFEE">
      <w:pPr>
        <w:spacing w:line="360" w:lineRule="auto"/>
        <w:rPr>
          <w:rFonts w:ascii="仿宋" w:hAnsi="仿宋" w:eastAsia="仿宋"/>
          <w:sz w:val="32"/>
          <w:szCs w:val="32"/>
        </w:rPr>
      </w:pPr>
      <w:r>
        <w:rPr>
          <w:rFonts w:hint="eastAsia" w:ascii="仿宋" w:hAnsi="仿宋" w:eastAsia="仿宋"/>
          <w:sz w:val="32"/>
          <w:szCs w:val="40"/>
        </w:rPr>
        <w:t>（</w:t>
      </w:r>
      <w:r>
        <w:rPr>
          <w:rFonts w:hint="eastAsia" w:ascii="仿宋" w:hAnsi="仿宋" w:eastAsia="仿宋"/>
          <w:sz w:val="32"/>
          <w:szCs w:val="40"/>
          <w:lang w:val="en-US" w:eastAsia="zh-CN"/>
        </w:rPr>
        <w:t>三</w:t>
      </w:r>
      <w:r>
        <w:rPr>
          <w:rFonts w:hint="eastAsia" w:ascii="仿宋" w:hAnsi="仿宋" w:eastAsia="仿宋"/>
          <w:sz w:val="32"/>
          <w:szCs w:val="40"/>
        </w:rPr>
        <w:t>）</w:t>
      </w:r>
      <w:r>
        <w:rPr>
          <w:rFonts w:hint="eastAsia" w:ascii="仿宋" w:hAnsi="仿宋" w:eastAsia="仿宋"/>
          <w:sz w:val="32"/>
          <w:szCs w:val="32"/>
        </w:rPr>
        <w:t>商务要求：</w:t>
      </w:r>
    </w:p>
    <w:p w14:paraId="618532AD">
      <w:pPr>
        <w:spacing w:line="360" w:lineRule="auto"/>
        <w:rPr>
          <w:rFonts w:hint="eastAsia" w:ascii="仿宋" w:hAnsi="仿宋" w:eastAsia="仿宋"/>
          <w:sz w:val="32"/>
          <w:szCs w:val="32"/>
        </w:rPr>
      </w:pPr>
      <w:r>
        <w:rPr>
          <w:rFonts w:hint="eastAsia" w:ascii="仿宋" w:hAnsi="仿宋" w:eastAsia="仿宋"/>
          <w:sz w:val="32"/>
          <w:szCs w:val="32"/>
          <w:lang w:val="en-US" w:eastAsia="zh-CN"/>
        </w:rPr>
        <w:t>1、履约</w:t>
      </w:r>
      <w:r>
        <w:rPr>
          <w:rFonts w:hint="eastAsia" w:ascii="仿宋" w:hAnsi="仿宋" w:eastAsia="仿宋"/>
          <w:sz w:val="32"/>
          <w:szCs w:val="32"/>
        </w:rPr>
        <w:t>时间：</w:t>
      </w:r>
    </w:p>
    <w:p w14:paraId="2BAF850E">
      <w:pPr>
        <w:spacing w:line="360" w:lineRule="auto"/>
        <w:ind w:firstLine="560" w:firstLineChars="200"/>
        <w:jc w:val="left"/>
        <w:rPr>
          <w:rFonts w:hint="eastAsia" w:ascii="仿宋" w:hAnsi="仿宋" w:eastAsia="仿宋"/>
          <w:sz w:val="28"/>
          <w:szCs w:val="28"/>
          <w:u w:val="none"/>
          <w:lang w:eastAsia="zh-CN"/>
        </w:rPr>
      </w:pPr>
      <w:r>
        <w:rPr>
          <w:rFonts w:hint="eastAsia" w:ascii="仿宋" w:hAnsi="仿宋" w:eastAsia="仿宋"/>
          <w:sz w:val="28"/>
          <w:szCs w:val="28"/>
          <w:u w:val="none"/>
          <w:lang w:eastAsia="zh-CN"/>
        </w:rPr>
        <w:sym w:font="Wingdings" w:char="00FE"/>
      </w:r>
      <w:r>
        <w:rPr>
          <w:rFonts w:hint="eastAsia" w:ascii="仿宋" w:hAnsi="仿宋" w:eastAsia="仿宋"/>
          <w:sz w:val="28"/>
          <w:szCs w:val="28"/>
          <w:u w:val="none"/>
          <w:lang w:val="en-US" w:eastAsia="zh-CN"/>
        </w:rPr>
        <w:t>合同签订后</w:t>
      </w:r>
      <w:r>
        <w:rPr>
          <w:rFonts w:hint="eastAsia" w:ascii="仿宋" w:hAnsi="仿宋" w:eastAsia="仿宋"/>
          <w:sz w:val="28"/>
          <w:szCs w:val="28"/>
          <w:u w:val="single"/>
          <w:lang w:val="en-US" w:eastAsia="zh-CN"/>
        </w:rPr>
        <w:t xml:space="preserve">  30  </w:t>
      </w:r>
      <w:r>
        <w:rPr>
          <w:rFonts w:hint="eastAsia" w:ascii="仿宋" w:hAnsi="仿宋" w:eastAsia="仿宋"/>
          <w:sz w:val="28"/>
          <w:szCs w:val="28"/>
          <w:u w:val="none"/>
          <w:lang w:val="en-US" w:eastAsia="zh-CN"/>
        </w:rPr>
        <w:t>个工作日内</w:t>
      </w:r>
      <w:r>
        <w:rPr>
          <w:rFonts w:hint="eastAsia" w:ascii="仿宋" w:hAnsi="仿宋" w:eastAsia="仿宋"/>
          <w:sz w:val="28"/>
          <w:szCs w:val="28"/>
          <w:u w:val="none"/>
          <w:lang w:eastAsia="zh-CN"/>
        </w:rPr>
        <w:t>。</w:t>
      </w:r>
    </w:p>
    <w:p w14:paraId="596193FE">
      <w:pPr>
        <w:spacing w:line="360" w:lineRule="auto"/>
        <w:ind w:firstLine="560" w:firstLineChars="200"/>
        <w:jc w:val="left"/>
        <w:rPr>
          <w:rFonts w:hint="default" w:ascii="仿宋" w:hAnsi="仿宋" w:eastAsia="仿宋"/>
          <w:sz w:val="28"/>
          <w:szCs w:val="28"/>
          <w:u w:val="single"/>
          <w:lang w:val="en-US" w:eastAsia="zh-CN"/>
        </w:rPr>
      </w:pPr>
      <w:r>
        <w:rPr>
          <w:rFonts w:hint="eastAsia" w:ascii="仿宋" w:hAnsi="仿宋" w:eastAsia="仿宋"/>
          <w:sz w:val="28"/>
          <w:szCs w:val="28"/>
          <w:u w:val="none"/>
          <w:lang w:eastAsia="zh-CN"/>
        </w:rPr>
        <w:sym w:font="Wingdings" w:char="00A8"/>
      </w:r>
      <w:r>
        <w:rPr>
          <w:rFonts w:hint="eastAsia" w:ascii="仿宋" w:hAnsi="仿宋" w:eastAsia="仿宋"/>
          <w:sz w:val="28"/>
          <w:szCs w:val="28"/>
          <w:u w:val="none"/>
          <w:lang w:val="en-US" w:eastAsia="zh-CN"/>
        </w:rPr>
        <w:t>其他：</w:t>
      </w:r>
      <w:r>
        <w:rPr>
          <w:rFonts w:hint="eastAsia" w:ascii="仿宋" w:hAnsi="仿宋" w:eastAsia="仿宋"/>
          <w:sz w:val="28"/>
          <w:szCs w:val="28"/>
          <w:u w:val="single"/>
          <w:lang w:val="en-US" w:eastAsia="zh-CN"/>
        </w:rPr>
        <w:t xml:space="preserve">                     </w:t>
      </w:r>
    </w:p>
    <w:p w14:paraId="2F389EBE">
      <w:pPr>
        <w:spacing w:line="360" w:lineRule="auto"/>
        <w:jc w:val="left"/>
        <w:rPr>
          <w:rFonts w:hint="eastAsia" w:ascii="仿宋" w:hAnsi="仿宋" w:eastAsia="仿宋"/>
          <w:sz w:val="32"/>
          <w:szCs w:val="32"/>
          <w:lang w:val="en-US" w:eastAsia="zh-CN"/>
        </w:rPr>
      </w:pPr>
      <w:r>
        <w:rPr>
          <w:rFonts w:hint="eastAsia" w:ascii="仿宋" w:hAnsi="仿宋" w:eastAsia="仿宋"/>
          <w:sz w:val="32"/>
          <w:szCs w:val="32"/>
          <w:lang w:val="en-US" w:eastAsia="zh-CN"/>
        </w:rPr>
        <w:t>2、履约地点：</w:t>
      </w:r>
    </w:p>
    <w:p w14:paraId="04120867">
      <w:pPr>
        <w:spacing w:line="360" w:lineRule="auto"/>
        <w:ind w:firstLine="560" w:firstLineChars="200"/>
        <w:jc w:val="left"/>
        <w:rPr>
          <w:rFonts w:hint="default" w:ascii="仿宋" w:hAnsi="仿宋" w:eastAsia="仿宋"/>
          <w:sz w:val="28"/>
          <w:szCs w:val="28"/>
          <w:u w:val="none"/>
          <w:lang w:val="en-US" w:eastAsia="zh-CN"/>
        </w:rPr>
      </w:pPr>
      <w:r>
        <w:rPr>
          <w:rFonts w:hint="eastAsia" w:ascii="仿宋" w:hAnsi="仿宋" w:eastAsia="仿宋"/>
          <w:sz w:val="28"/>
          <w:szCs w:val="28"/>
          <w:u w:val="none"/>
          <w:lang w:val="en-US" w:eastAsia="zh-CN"/>
        </w:rPr>
        <w:sym w:font="Wingdings" w:char="00FE"/>
      </w:r>
      <w:r>
        <w:rPr>
          <w:rFonts w:hint="eastAsia" w:ascii="仿宋" w:hAnsi="仿宋" w:eastAsia="仿宋"/>
          <w:sz w:val="28"/>
          <w:szCs w:val="28"/>
          <w:u w:val="none"/>
          <w:lang w:val="en-US" w:eastAsia="zh-CN"/>
        </w:rPr>
        <w:t>广东省中山市南朗街道田边正街80号</w:t>
      </w:r>
    </w:p>
    <w:p w14:paraId="4BDBB5AA">
      <w:pPr>
        <w:spacing w:line="360" w:lineRule="auto"/>
        <w:ind w:firstLine="560" w:firstLineChars="200"/>
        <w:jc w:val="left"/>
        <w:rPr>
          <w:rFonts w:hint="eastAsia" w:ascii="仿宋" w:hAnsi="仿宋" w:eastAsia="仿宋"/>
          <w:sz w:val="28"/>
          <w:szCs w:val="28"/>
          <w:u w:val="none"/>
          <w:lang w:eastAsia="zh-CN"/>
        </w:rPr>
      </w:pPr>
      <w:r>
        <w:rPr>
          <w:rFonts w:hint="eastAsia" w:ascii="仿宋" w:hAnsi="仿宋" w:eastAsia="仿宋"/>
          <w:sz w:val="28"/>
          <w:szCs w:val="28"/>
          <w:u w:val="none"/>
          <w:lang w:val="en-US" w:eastAsia="zh-CN"/>
        </w:rPr>
        <w:sym w:font="Wingdings" w:char="00A8"/>
      </w:r>
      <w:r>
        <w:rPr>
          <w:rFonts w:hint="eastAsia" w:ascii="仿宋" w:hAnsi="仿宋" w:eastAsia="仿宋"/>
          <w:sz w:val="28"/>
          <w:szCs w:val="28"/>
          <w:u w:val="none"/>
          <w:lang w:val="en-US" w:eastAsia="zh-CN"/>
        </w:rPr>
        <w:t>其他：</w:t>
      </w:r>
      <w:r>
        <w:rPr>
          <w:rFonts w:hint="eastAsia" w:ascii="仿宋" w:hAnsi="仿宋" w:eastAsia="仿宋"/>
          <w:sz w:val="28"/>
          <w:szCs w:val="28"/>
          <w:u w:val="single"/>
          <w:lang w:eastAsia="zh-CN"/>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lang w:eastAsia="zh-CN"/>
        </w:rPr>
        <w:t xml:space="preserve">        </w:t>
      </w:r>
      <w:r>
        <w:rPr>
          <w:rFonts w:hint="eastAsia" w:ascii="仿宋" w:hAnsi="仿宋" w:eastAsia="仿宋"/>
          <w:sz w:val="28"/>
          <w:szCs w:val="28"/>
          <w:u w:val="none"/>
          <w:lang w:eastAsia="zh-CN"/>
        </w:rPr>
        <w:t xml:space="preserve">      </w:t>
      </w:r>
    </w:p>
    <w:p w14:paraId="5764D811">
      <w:pPr>
        <w:numPr>
          <w:ilvl w:val="0"/>
          <w:numId w:val="2"/>
        </w:numPr>
        <w:spacing w:line="360" w:lineRule="auto"/>
        <w:jc w:val="left"/>
        <w:rPr>
          <w:rFonts w:hint="eastAsia" w:ascii="仿宋" w:hAnsi="仿宋" w:eastAsia="仿宋"/>
          <w:sz w:val="32"/>
          <w:szCs w:val="32"/>
          <w:lang w:val="en-US" w:eastAsia="zh-CN"/>
        </w:rPr>
      </w:pPr>
      <w:r>
        <w:rPr>
          <w:rFonts w:hint="eastAsia" w:ascii="仿宋" w:hAnsi="仿宋" w:eastAsia="仿宋"/>
          <w:sz w:val="32"/>
          <w:szCs w:val="32"/>
          <w:lang w:val="en-US" w:eastAsia="zh-CN"/>
        </w:rPr>
        <w:t>验收标准：</w:t>
      </w:r>
    </w:p>
    <w:p w14:paraId="47BE0223">
      <w:pPr>
        <w:spacing w:line="360" w:lineRule="auto"/>
        <w:ind w:firstLine="560" w:firstLineChars="200"/>
        <w:jc w:val="left"/>
        <w:rPr>
          <w:rFonts w:hint="default" w:ascii="仿宋" w:hAnsi="仿宋" w:eastAsia="仿宋"/>
          <w:sz w:val="28"/>
          <w:szCs w:val="28"/>
          <w:u w:val="none"/>
          <w:lang w:val="en-US" w:eastAsia="zh-CN"/>
        </w:rPr>
      </w:pPr>
      <w:r>
        <w:rPr>
          <w:rFonts w:hint="eastAsia" w:ascii="仿宋" w:hAnsi="仿宋" w:eastAsia="仿宋"/>
          <w:sz w:val="28"/>
          <w:szCs w:val="28"/>
          <w:u w:val="none"/>
          <w:lang w:val="en-US" w:eastAsia="zh-CN"/>
        </w:rPr>
        <w:sym w:font="Wingdings" w:char="00FE"/>
      </w:r>
      <w:r>
        <w:rPr>
          <w:rFonts w:hint="eastAsia" w:ascii="仿宋" w:hAnsi="仿宋" w:eastAsia="仿宋"/>
          <w:sz w:val="28"/>
          <w:szCs w:val="28"/>
          <w:u w:val="none"/>
          <w:lang w:val="en-US" w:eastAsia="zh-CN"/>
        </w:rPr>
        <w:t>设备生产日期至设备交货日期不超过180个自然日，按照采购合同或协议规定的技术、服务、安全标准等对供应商履约情况进行验收，并出具验收记录</w:t>
      </w:r>
    </w:p>
    <w:p w14:paraId="2FC3A544">
      <w:pPr>
        <w:numPr>
          <w:ilvl w:val="0"/>
          <w:numId w:val="0"/>
        </w:numPr>
        <w:spacing w:line="360" w:lineRule="auto"/>
        <w:ind w:firstLine="560" w:firstLineChars="200"/>
        <w:jc w:val="left"/>
        <w:rPr>
          <w:rFonts w:hint="eastAsia" w:ascii="仿宋" w:hAnsi="仿宋" w:eastAsia="仿宋"/>
          <w:sz w:val="28"/>
          <w:szCs w:val="28"/>
          <w:u w:val="none"/>
          <w:lang w:eastAsia="zh-CN"/>
        </w:rPr>
      </w:pPr>
      <w:r>
        <w:rPr>
          <w:rFonts w:hint="eastAsia" w:ascii="仿宋" w:hAnsi="仿宋" w:eastAsia="仿宋"/>
          <w:sz w:val="28"/>
          <w:szCs w:val="28"/>
          <w:u w:val="none"/>
          <w:lang w:val="en-US" w:eastAsia="zh-CN"/>
        </w:rPr>
        <w:sym w:font="Wingdings" w:char="00A8"/>
      </w:r>
      <w:r>
        <w:rPr>
          <w:rFonts w:hint="eastAsia" w:ascii="仿宋" w:hAnsi="仿宋" w:eastAsia="仿宋"/>
          <w:sz w:val="28"/>
          <w:szCs w:val="28"/>
          <w:u w:val="none"/>
          <w:lang w:val="en-US" w:eastAsia="zh-CN"/>
        </w:rPr>
        <w:t>其他：</w:t>
      </w:r>
      <w:r>
        <w:rPr>
          <w:rFonts w:hint="eastAsia" w:ascii="仿宋" w:hAnsi="仿宋" w:eastAsia="仿宋"/>
          <w:sz w:val="28"/>
          <w:szCs w:val="28"/>
          <w:u w:val="single"/>
          <w:lang w:eastAsia="zh-CN"/>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lang w:eastAsia="zh-CN"/>
        </w:rPr>
        <w:t xml:space="preserve">        </w:t>
      </w:r>
      <w:r>
        <w:rPr>
          <w:rFonts w:hint="eastAsia" w:ascii="仿宋" w:hAnsi="仿宋" w:eastAsia="仿宋"/>
          <w:sz w:val="28"/>
          <w:szCs w:val="28"/>
          <w:u w:val="none"/>
          <w:lang w:eastAsia="zh-CN"/>
        </w:rPr>
        <w:t xml:space="preserve">            </w:t>
      </w:r>
    </w:p>
    <w:p w14:paraId="08CC533A">
      <w:pPr>
        <w:spacing w:line="360" w:lineRule="auto"/>
        <w:rPr>
          <w:rFonts w:hint="eastAsia" w:ascii="仿宋" w:hAnsi="仿宋" w:eastAsia="仿宋"/>
          <w:sz w:val="28"/>
          <w:szCs w:val="28"/>
        </w:rPr>
      </w:pPr>
      <w:r>
        <w:rPr>
          <w:rFonts w:hint="eastAsia" w:ascii="仿宋" w:hAnsi="仿宋" w:eastAsia="仿宋"/>
          <w:sz w:val="32"/>
          <w:szCs w:val="32"/>
          <w:lang w:val="en-US" w:eastAsia="zh-CN"/>
        </w:rPr>
        <w:t>4、</w:t>
      </w:r>
      <w:r>
        <w:rPr>
          <w:rFonts w:hint="eastAsia" w:ascii="仿宋" w:hAnsi="仿宋" w:eastAsia="仿宋"/>
          <w:sz w:val="32"/>
          <w:szCs w:val="32"/>
        </w:rPr>
        <w:t>付款进度和方式</w:t>
      </w:r>
      <w:r>
        <w:rPr>
          <w:rFonts w:hint="eastAsia" w:ascii="仿宋" w:hAnsi="仿宋" w:eastAsia="仿宋"/>
          <w:sz w:val="28"/>
          <w:szCs w:val="28"/>
        </w:rPr>
        <w:t>：</w:t>
      </w:r>
    </w:p>
    <w:p w14:paraId="447D83C0">
      <w:pPr>
        <w:spacing w:line="360" w:lineRule="auto"/>
        <w:ind w:firstLine="560" w:firstLineChars="200"/>
        <w:jc w:val="left"/>
        <w:rPr>
          <w:rFonts w:hint="default" w:ascii="仿宋" w:hAnsi="仿宋" w:eastAsia="仿宋"/>
          <w:sz w:val="28"/>
          <w:szCs w:val="28"/>
          <w:u w:val="none"/>
          <w:lang w:val="en-US" w:eastAsia="zh-CN"/>
        </w:rPr>
      </w:pPr>
      <w:r>
        <w:rPr>
          <w:rFonts w:hint="eastAsia" w:ascii="仿宋" w:hAnsi="仿宋" w:eastAsia="仿宋"/>
          <w:sz w:val="28"/>
          <w:szCs w:val="28"/>
          <w:u w:val="none"/>
          <w:lang w:val="en-US" w:eastAsia="zh-CN"/>
        </w:rPr>
        <w:sym w:font="Wingdings" w:char="00FE"/>
      </w:r>
      <w:r>
        <w:rPr>
          <w:rFonts w:hint="eastAsia" w:ascii="仿宋" w:hAnsi="仿宋" w:eastAsia="仿宋"/>
          <w:sz w:val="28"/>
          <w:szCs w:val="28"/>
          <w:u w:val="none"/>
          <w:lang w:val="en-US" w:eastAsia="zh-CN"/>
        </w:rPr>
        <w:t>乙方完成合同约定的服务内容，甲方验收通过并收齐乙方验收资料、发票后30个日历天向乙方支付</w:t>
      </w:r>
      <w:r>
        <w:rPr>
          <w:rFonts w:hint="default" w:ascii="仿宋" w:hAnsi="仿宋" w:eastAsia="仿宋"/>
          <w:sz w:val="28"/>
          <w:szCs w:val="28"/>
          <w:u w:val="none"/>
          <w:lang w:val="en-US" w:eastAsia="zh-CN"/>
        </w:rPr>
        <w:t>100%</w:t>
      </w:r>
      <w:r>
        <w:rPr>
          <w:rFonts w:hint="eastAsia" w:ascii="仿宋" w:hAnsi="仿宋" w:eastAsia="仿宋"/>
          <w:sz w:val="28"/>
          <w:szCs w:val="28"/>
          <w:u w:val="none"/>
          <w:lang w:val="en-US" w:eastAsia="zh-CN"/>
        </w:rPr>
        <w:t>合同款项</w:t>
      </w:r>
    </w:p>
    <w:p w14:paraId="51BE619F">
      <w:pPr>
        <w:spacing w:line="360" w:lineRule="auto"/>
        <w:ind w:firstLine="560" w:firstLineChars="200"/>
        <w:rPr>
          <w:rFonts w:hint="eastAsia" w:ascii="仿宋" w:hAnsi="仿宋" w:eastAsia="仿宋"/>
          <w:sz w:val="28"/>
          <w:szCs w:val="28"/>
        </w:rPr>
      </w:pPr>
      <w:r>
        <w:rPr>
          <w:rFonts w:hint="eastAsia" w:ascii="仿宋" w:hAnsi="仿宋" w:eastAsia="仿宋"/>
          <w:sz w:val="28"/>
          <w:szCs w:val="28"/>
          <w:u w:val="none"/>
          <w:lang w:val="en-US" w:eastAsia="zh-CN"/>
        </w:rPr>
        <w:sym w:font="Wingdings" w:char="00A8"/>
      </w:r>
      <w:r>
        <w:rPr>
          <w:rFonts w:hint="eastAsia" w:ascii="仿宋" w:hAnsi="仿宋" w:eastAsia="仿宋"/>
          <w:sz w:val="28"/>
          <w:szCs w:val="28"/>
          <w:u w:val="none"/>
          <w:lang w:val="en-US" w:eastAsia="zh-CN"/>
        </w:rPr>
        <w:t>其他：</w:t>
      </w:r>
      <w:r>
        <w:rPr>
          <w:rFonts w:hint="eastAsia" w:ascii="仿宋" w:hAnsi="仿宋" w:eastAsia="仿宋"/>
          <w:sz w:val="28"/>
          <w:szCs w:val="28"/>
          <w:u w:val="single"/>
          <w:lang w:eastAsia="zh-CN"/>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lang w:eastAsia="zh-CN"/>
        </w:rPr>
        <w:t xml:space="preserve">        </w:t>
      </w:r>
      <w:r>
        <w:rPr>
          <w:rFonts w:hint="eastAsia" w:ascii="仿宋" w:hAnsi="仿宋" w:eastAsia="仿宋"/>
          <w:sz w:val="28"/>
          <w:szCs w:val="28"/>
          <w:u w:val="none"/>
          <w:lang w:eastAsia="zh-CN"/>
        </w:rPr>
        <w:t xml:space="preserve">   </w:t>
      </w:r>
    </w:p>
    <w:p w14:paraId="3B99C3B0">
      <w:pPr>
        <w:keepNext w:val="0"/>
        <w:keepLines w:val="0"/>
        <w:widowControl/>
        <w:suppressLineNumbers w:val="0"/>
        <w:jc w:val="left"/>
        <w:rPr>
          <w:rFonts w:hint="eastAsia" w:ascii="仿宋_GB2312" w:hAnsi="仿宋_GB2312" w:eastAsia="仿宋_GB2312" w:cs="仿宋_GB2312"/>
          <w:sz w:val="28"/>
          <w:szCs w:val="28"/>
          <w:u w:val="single"/>
        </w:rPr>
      </w:pPr>
      <w:r>
        <w:rPr>
          <w:rFonts w:hint="eastAsia" w:ascii="仿宋" w:hAnsi="仿宋" w:eastAsia="仿宋"/>
          <w:sz w:val="32"/>
          <w:szCs w:val="32"/>
          <w:lang w:val="en-US" w:eastAsia="zh-CN"/>
        </w:rPr>
        <w:t>5、其他要求</w:t>
      </w:r>
      <w:r>
        <w:rPr>
          <w:rFonts w:hint="eastAsia" w:ascii="仿宋" w:hAnsi="仿宋" w:eastAsia="仿宋"/>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售后服务要求：</w:t>
      </w:r>
      <w:r>
        <w:rPr>
          <w:rFonts w:hint="eastAsia" w:ascii="仿宋_GB2312" w:hAnsi="仿宋_GB2312" w:eastAsia="仿宋_GB2312" w:cs="仿宋_GB2312"/>
          <w:color w:val="000000"/>
          <w:kern w:val="0"/>
          <w:sz w:val="28"/>
          <w:szCs w:val="28"/>
          <w:u w:val="single"/>
          <w:lang w:val="en-US" w:eastAsia="zh-CN" w:bidi="ar"/>
        </w:rPr>
        <w:t>1.质保期内以及期满后服务；质保期≥3年，以招标人签署验收合格文件时间为保修期起始时间；质保期内免费提供计量的相关服务；免费提供维修、保养、更换零配件的服务；维修服务所涉及的人工费、交通差旅费、上门费及备件费，均由投标人承担；保证提供的零配件为原厂认证、测试合格、全新零配件，且与设备整机匹配，以保证兼容性及图像质量；2.维修及响应时间要求；投标人或其制造商提供 7*24 小时专线电话客户服务。专人接听，并配有经验丰富工程师提供指导服务；招标人的设备所属科室人员报修后投标人或其制造商工程师 2 小时内到现场进行维修；投标人或其制造商提供 24 小时可以取得联络的资深售后工程师电话，一旦遇到紧急情况可以保证迅速响应，最短时间内到场勘察、检测、解决问题。并在投标文件中明确不少于 2 名资深售后工程师姓名、手机号、工龄；在有特殊任务的情况下，投标人或其制造商保证售后工程师到场，在检查过程中待命，随时响应处理临时出现的关于设备的问题及突发情况；保证本次招标设备全年开机率≥95％（按 365 天计算），未达到的天数，按不少于１：２的比例顺延保修期时间。</w:t>
      </w:r>
    </w:p>
    <w:p w14:paraId="399EDA09">
      <w:pPr>
        <w:keepNext w:val="0"/>
        <w:keepLines w:val="0"/>
        <w:widowControl/>
        <w:suppressLineNumbers w:val="0"/>
        <w:jc w:val="left"/>
        <w:rPr>
          <w:rFonts w:hint="eastAsia" w:ascii="仿宋_GB2312" w:hAnsi="仿宋_GB2312" w:eastAsia="仿宋_GB2312" w:cs="仿宋_GB2312"/>
          <w:color w:val="000000"/>
          <w:kern w:val="0"/>
          <w:sz w:val="28"/>
          <w:szCs w:val="28"/>
          <w:u w:val="single"/>
          <w:lang w:val="en-US" w:eastAsia="zh-CN" w:bidi="ar"/>
        </w:rPr>
      </w:pPr>
      <w:r>
        <w:rPr>
          <w:rFonts w:hint="eastAsia" w:ascii="仿宋_GB2312" w:hAnsi="仿宋_GB2312" w:eastAsia="仿宋_GB2312" w:cs="仿宋_GB2312"/>
          <w:color w:val="000000"/>
          <w:kern w:val="0"/>
          <w:sz w:val="28"/>
          <w:szCs w:val="28"/>
          <w:u w:val="single"/>
          <w:lang w:val="en-US" w:eastAsia="zh-CN" w:bidi="ar"/>
        </w:rPr>
        <w:t xml:space="preserve">3.保养及巡检服务；投标人或其制造商提供不少于1次/年的定期巡检服务，询问了解设备运行状况，对核心易损部件进行常规备件准备和检查，以保证有突发情况下的及时应对；投标人或其制造商提供不少于1次/年的定期维护保养服务。记录维护保养报告留招标人备案。 </w:t>
      </w:r>
    </w:p>
    <w:p w14:paraId="109B6C22">
      <w:pPr>
        <w:keepNext w:val="0"/>
        <w:keepLines w:val="0"/>
        <w:widowControl/>
        <w:suppressLineNumbers w:val="0"/>
        <w:jc w:val="left"/>
        <w:rPr>
          <w:rFonts w:hint="eastAsia" w:ascii="仿宋_GB2312" w:hAnsi="仿宋_GB2312" w:eastAsia="仿宋_GB2312" w:cs="仿宋_GB2312"/>
          <w:sz w:val="28"/>
          <w:szCs w:val="28"/>
          <w:u w:val="single"/>
        </w:rPr>
      </w:pPr>
      <w:r>
        <w:rPr>
          <w:rFonts w:hint="eastAsia" w:ascii="仿宋_GB2312" w:hAnsi="仿宋_GB2312" w:eastAsia="仿宋_GB2312" w:cs="仿宋_GB2312"/>
          <w:color w:val="000000"/>
          <w:kern w:val="0"/>
          <w:sz w:val="28"/>
          <w:szCs w:val="28"/>
          <w:u w:val="single"/>
          <w:lang w:val="en-US" w:eastAsia="zh-CN" w:bidi="ar"/>
        </w:rPr>
        <w:t>培训要求：1. 设备投入使用前，投标人或其制造商需负责对设备所属科室人员进行正规的设备操作使用培训至设备所属科室人员可正确进行设备操作。提供免费且不限次培训服务：对招标人的设备所属科室人员进行不定期的技术培训，包括但不限于机器维护、常见故障判断、常见故障处理、常规非定期保障等技术培训；根据医院需求，5 年内提供无限次培训（线上+线下），不额外收取任何费用。</w:t>
      </w:r>
    </w:p>
    <w:p w14:paraId="2F5F4BF9">
      <w:pPr>
        <w:pStyle w:val="2"/>
        <w:rPr>
          <w:rFonts w:hint="eastAsia" w:ascii="仿宋_GB2312" w:hAnsi="仿宋_GB2312" w:eastAsia="仿宋_GB2312" w:cs="仿宋_GB2312"/>
          <w:sz w:val="32"/>
          <w:szCs w:val="32"/>
          <w:u w:val="single"/>
        </w:rPr>
      </w:pPr>
    </w:p>
    <w:p w14:paraId="248F1EA2">
      <w:pPr>
        <w:keepNext w:val="0"/>
        <w:keepLines w:val="0"/>
        <w:widowControl/>
        <w:suppressLineNumbers w:val="0"/>
        <w:jc w:val="left"/>
        <w:rPr>
          <w:rFonts w:ascii="仿宋" w:hAnsi="仿宋" w:eastAsia="仿宋"/>
          <w:sz w:val="32"/>
          <w:szCs w:val="32"/>
        </w:rPr>
      </w:pPr>
    </w:p>
    <w:sectPr>
      <w:headerReference r:id="rId5" w:type="default"/>
      <w:type w:val="continuous"/>
      <w:pgSz w:w="11900" w:h="16840"/>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1" w:csb1="00000000"/>
  </w:font>
  <w:font w:name="Cabin-Regular">
    <w:altName w:val="Calibri"/>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80AF5">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2067"/>
                            <w:docPartObj>
                              <w:docPartGallery w:val="autotext"/>
                            </w:docPartObj>
                          </w:sdtPr>
                          <w:sdtContent>
                            <w:p w14:paraId="3653FFE0">
                              <w:pPr>
                                <w:pStyle w:val="7"/>
                                <w:jc w:val="center"/>
                              </w:pPr>
                              <w:r>
                                <w:fldChar w:fldCharType="begin"/>
                              </w:r>
                              <w:r>
                                <w:instrText xml:space="preserve">PAGE   \* MERGEFORMAT</w:instrText>
                              </w:r>
                              <w:r>
                                <w:fldChar w:fldCharType="separate"/>
                              </w:r>
                              <w:r>
                                <w:rPr>
                                  <w:lang w:val="zh-CN"/>
                                </w:rPr>
                                <w:t>2</w:t>
                              </w:r>
                              <w:r>
                                <w:fldChar w:fldCharType="end"/>
                              </w:r>
                            </w:p>
                          </w:sdtContent>
                        </w:sdt>
                        <w:p w14:paraId="554A065D">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52067"/>
                      <w:docPartObj>
                        <w:docPartGallery w:val="autotext"/>
                      </w:docPartObj>
                    </w:sdtPr>
                    <w:sdtContent>
                      <w:p w14:paraId="3653FFE0">
                        <w:pPr>
                          <w:pStyle w:val="7"/>
                          <w:jc w:val="center"/>
                        </w:pPr>
                        <w:r>
                          <w:fldChar w:fldCharType="begin"/>
                        </w:r>
                        <w:r>
                          <w:instrText xml:space="preserve">PAGE   \* MERGEFORMAT</w:instrText>
                        </w:r>
                        <w:r>
                          <w:fldChar w:fldCharType="separate"/>
                        </w:r>
                        <w:r>
                          <w:rPr>
                            <w:lang w:val="zh-CN"/>
                          </w:rPr>
                          <w:t>2</w:t>
                        </w:r>
                        <w:r>
                          <w:fldChar w:fldCharType="end"/>
                        </w:r>
                      </w:p>
                    </w:sdtContent>
                  </w:sdt>
                  <w:p w14:paraId="554A065D">
                    <w:pPr>
                      <w:pStyle w:val="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90417">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7635A">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CFBF86"/>
    <w:multiLevelType w:val="singleLevel"/>
    <w:tmpl w:val="4FCFBF86"/>
    <w:lvl w:ilvl="0" w:tentative="0">
      <w:start w:val="3"/>
      <w:numFmt w:val="decimal"/>
      <w:suff w:val="nothing"/>
      <w:lvlText w:val="%1、"/>
      <w:lvlJc w:val="left"/>
    </w:lvl>
  </w:abstractNum>
  <w:abstractNum w:abstractNumId="1">
    <w:nsid w:val="5B59E768"/>
    <w:multiLevelType w:val="singleLevel"/>
    <w:tmpl w:val="5B59E768"/>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MjE1ZjM0N2M1Y2U5Yzk0NzI4OGI1OWY1MWIzNDQifQ=="/>
  </w:docVars>
  <w:rsids>
    <w:rsidRoot w:val="008F294C"/>
    <w:rsid w:val="00017EC7"/>
    <w:rsid w:val="0003109B"/>
    <w:rsid w:val="00033C45"/>
    <w:rsid w:val="0005284C"/>
    <w:rsid w:val="00054A11"/>
    <w:rsid w:val="000762D5"/>
    <w:rsid w:val="000935C6"/>
    <w:rsid w:val="000A7AFC"/>
    <w:rsid w:val="000B2854"/>
    <w:rsid w:val="000C429D"/>
    <w:rsid w:val="000E6FC2"/>
    <w:rsid w:val="001003C8"/>
    <w:rsid w:val="0011378F"/>
    <w:rsid w:val="001250A0"/>
    <w:rsid w:val="001260A5"/>
    <w:rsid w:val="0016016F"/>
    <w:rsid w:val="001834EA"/>
    <w:rsid w:val="001F72EA"/>
    <w:rsid w:val="002001EF"/>
    <w:rsid w:val="002033DB"/>
    <w:rsid w:val="00212F08"/>
    <w:rsid w:val="002169C6"/>
    <w:rsid w:val="002175D5"/>
    <w:rsid w:val="0022176A"/>
    <w:rsid w:val="00225A3F"/>
    <w:rsid w:val="00245536"/>
    <w:rsid w:val="0025311A"/>
    <w:rsid w:val="00254F64"/>
    <w:rsid w:val="00255E05"/>
    <w:rsid w:val="00276DCD"/>
    <w:rsid w:val="002C181E"/>
    <w:rsid w:val="002C3634"/>
    <w:rsid w:val="002E4D1F"/>
    <w:rsid w:val="00314F7E"/>
    <w:rsid w:val="00317C9C"/>
    <w:rsid w:val="0032514A"/>
    <w:rsid w:val="003437B1"/>
    <w:rsid w:val="00344C2F"/>
    <w:rsid w:val="0035465B"/>
    <w:rsid w:val="00362B69"/>
    <w:rsid w:val="00385822"/>
    <w:rsid w:val="00385995"/>
    <w:rsid w:val="003928D9"/>
    <w:rsid w:val="003E413B"/>
    <w:rsid w:val="003F1CC5"/>
    <w:rsid w:val="003F60A1"/>
    <w:rsid w:val="00412469"/>
    <w:rsid w:val="00424A97"/>
    <w:rsid w:val="004462FE"/>
    <w:rsid w:val="004678AA"/>
    <w:rsid w:val="00475E63"/>
    <w:rsid w:val="004765E2"/>
    <w:rsid w:val="0048273F"/>
    <w:rsid w:val="00482D8C"/>
    <w:rsid w:val="00495EBA"/>
    <w:rsid w:val="004D68A6"/>
    <w:rsid w:val="004E0223"/>
    <w:rsid w:val="004F0BA3"/>
    <w:rsid w:val="005054ED"/>
    <w:rsid w:val="0050637C"/>
    <w:rsid w:val="00513686"/>
    <w:rsid w:val="00535489"/>
    <w:rsid w:val="00564C6D"/>
    <w:rsid w:val="00572F3B"/>
    <w:rsid w:val="00597A7C"/>
    <w:rsid w:val="005A55DD"/>
    <w:rsid w:val="005A5926"/>
    <w:rsid w:val="005C43B4"/>
    <w:rsid w:val="005C71D6"/>
    <w:rsid w:val="005F4DB6"/>
    <w:rsid w:val="00600E35"/>
    <w:rsid w:val="0060634A"/>
    <w:rsid w:val="00653B6E"/>
    <w:rsid w:val="00663784"/>
    <w:rsid w:val="006725E6"/>
    <w:rsid w:val="006A7115"/>
    <w:rsid w:val="006A78FE"/>
    <w:rsid w:val="006B6A96"/>
    <w:rsid w:val="006E4B91"/>
    <w:rsid w:val="006F1648"/>
    <w:rsid w:val="00710B61"/>
    <w:rsid w:val="00721ECA"/>
    <w:rsid w:val="007263B4"/>
    <w:rsid w:val="00745DA6"/>
    <w:rsid w:val="00747877"/>
    <w:rsid w:val="00757E0E"/>
    <w:rsid w:val="007879F5"/>
    <w:rsid w:val="00795440"/>
    <w:rsid w:val="007A5ACA"/>
    <w:rsid w:val="007C68B1"/>
    <w:rsid w:val="00801555"/>
    <w:rsid w:val="0080439A"/>
    <w:rsid w:val="00805922"/>
    <w:rsid w:val="0081176D"/>
    <w:rsid w:val="00811888"/>
    <w:rsid w:val="0083635E"/>
    <w:rsid w:val="00841D3F"/>
    <w:rsid w:val="00860E4A"/>
    <w:rsid w:val="0089687D"/>
    <w:rsid w:val="0089739C"/>
    <w:rsid w:val="008C41B2"/>
    <w:rsid w:val="008D3B15"/>
    <w:rsid w:val="008F294C"/>
    <w:rsid w:val="009004DB"/>
    <w:rsid w:val="00901872"/>
    <w:rsid w:val="00925546"/>
    <w:rsid w:val="00937842"/>
    <w:rsid w:val="00965317"/>
    <w:rsid w:val="00970F35"/>
    <w:rsid w:val="009778C7"/>
    <w:rsid w:val="00984983"/>
    <w:rsid w:val="009B15EB"/>
    <w:rsid w:val="009D6B77"/>
    <w:rsid w:val="009E5390"/>
    <w:rsid w:val="00A01D02"/>
    <w:rsid w:val="00A153A7"/>
    <w:rsid w:val="00A52B45"/>
    <w:rsid w:val="00A64B7B"/>
    <w:rsid w:val="00A93230"/>
    <w:rsid w:val="00AC0453"/>
    <w:rsid w:val="00AE6905"/>
    <w:rsid w:val="00AF17C0"/>
    <w:rsid w:val="00B270BA"/>
    <w:rsid w:val="00B705A2"/>
    <w:rsid w:val="00B968B6"/>
    <w:rsid w:val="00BC1838"/>
    <w:rsid w:val="00BC4524"/>
    <w:rsid w:val="00BD789C"/>
    <w:rsid w:val="00BE1A28"/>
    <w:rsid w:val="00BE4E22"/>
    <w:rsid w:val="00C00265"/>
    <w:rsid w:val="00C014DB"/>
    <w:rsid w:val="00C119F8"/>
    <w:rsid w:val="00C15EE4"/>
    <w:rsid w:val="00C31CEC"/>
    <w:rsid w:val="00C55A1E"/>
    <w:rsid w:val="00C62E68"/>
    <w:rsid w:val="00C64291"/>
    <w:rsid w:val="00C716DF"/>
    <w:rsid w:val="00CD0F7A"/>
    <w:rsid w:val="00CD344F"/>
    <w:rsid w:val="00CE01F6"/>
    <w:rsid w:val="00CE04E7"/>
    <w:rsid w:val="00CF384C"/>
    <w:rsid w:val="00D179DF"/>
    <w:rsid w:val="00D3200B"/>
    <w:rsid w:val="00D33AD0"/>
    <w:rsid w:val="00D50F38"/>
    <w:rsid w:val="00D65806"/>
    <w:rsid w:val="00D91AC4"/>
    <w:rsid w:val="00DA5F0B"/>
    <w:rsid w:val="00E03022"/>
    <w:rsid w:val="00E17256"/>
    <w:rsid w:val="00E20E56"/>
    <w:rsid w:val="00E417D0"/>
    <w:rsid w:val="00E54530"/>
    <w:rsid w:val="00E60FE3"/>
    <w:rsid w:val="00E7636B"/>
    <w:rsid w:val="00E918EE"/>
    <w:rsid w:val="00EA7FBC"/>
    <w:rsid w:val="00EB2819"/>
    <w:rsid w:val="00EB355B"/>
    <w:rsid w:val="00EB4367"/>
    <w:rsid w:val="00EC1164"/>
    <w:rsid w:val="00EC1C8C"/>
    <w:rsid w:val="00EC20AE"/>
    <w:rsid w:val="00EC4572"/>
    <w:rsid w:val="00EC7E25"/>
    <w:rsid w:val="00ED02BE"/>
    <w:rsid w:val="00ED540F"/>
    <w:rsid w:val="00EE483C"/>
    <w:rsid w:val="00EF1E9F"/>
    <w:rsid w:val="00EF3B66"/>
    <w:rsid w:val="00F02E01"/>
    <w:rsid w:val="00F12096"/>
    <w:rsid w:val="00F15F4A"/>
    <w:rsid w:val="00F56E88"/>
    <w:rsid w:val="00F6286B"/>
    <w:rsid w:val="00F660BD"/>
    <w:rsid w:val="00F80A98"/>
    <w:rsid w:val="00FB0B26"/>
    <w:rsid w:val="00FB2B4E"/>
    <w:rsid w:val="00FB5470"/>
    <w:rsid w:val="00FB54B7"/>
    <w:rsid w:val="00FC6132"/>
    <w:rsid w:val="00FD5A4F"/>
    <w:rsid w:val="00FF6D04"/>
    <w:rsid w:val="0153453C"/>
    <w:rsid w:val="068D34CF"/>
    <w:rsid w:val="0855058A"/>
    <w:rsid w:val="0D963232"/>
    <w:rsid w:val="0E3176E6"/>
    <w:rsid w:val="0EDC4568"/>
    <w:rsid w:val="10155D40"/>
    <w:rsid w:val="144F4213"/>
    <w:rsid w:val="147F2692"/>
    <w:rsid w:val="198062AE"/>
    <w:rsid w:val="1A1E3E58"/>
    <w:rsid w:val="20AD4D75"/>
    <w:rsid w:val="211F6A6C"/>
    <w:rsid w:val="21AA19C9"/>
    <w:rsid w:val="21B70182"/>
    <w:rsid w:val="227D4BEC"/>
    <w:rsid w:val="22FA27BB"/>
    <w:rsid w:val="235E15CF"/>
    <w:rsid w:val="24CF5440"/>
    <w:rsid w:val="254F1D14"/>
    <w:rsid w:val="260E2F4A"/>
    <w:rsid w:val="263B71BF"/>
    <w:rsid w:val="28BD4989"/>
    <w:rsid w:val="291E25A3"/>
    <w:rsid w:val="29A632C6"/>
    <w:rsid w:val="2A574CBB"/>
    <w:rsid w:val="2A826967"/>
    <w:rsid w:val="2C555ED2"/>
    <w:rsid w:val="2DAD55FD"/>
    <w:rsid w:val="2EF9389F"/>
    <w:rsid w:val="2F3A3BDD"/>
    <w:rsid w:val="30110809"/>
    <w:rsid w:val="31C85C3C"/>
    <w:rsid w:val="32783112"/>
    <w:rsid w:val="34F93F25"/>
    <w:rsid w:val="34FA47FA"/>
    <w:rsid w:val="3AB06DB3"/>
    <w:rsid w:val="3B3F1281"/>
    <w:rsid w:val="3DD27E02"/>
    <w:rsid w:val="3DE75F30"/>
    <w:rsid w:val="42134515"/>
    <w:rsid w:val="42CC091C"/>
    <w:rsid w:val="431060FE"/>
    <w:rsid w:val="447C0AC8"/>
    <w:rsid w:val="453061B2"/>
    <w:rsid w:val="47CB21D4"/>
    <w:rsid w:val="49526276"/>
    <w:rsid w:val="4BE83164"/>
    <w:rsid w:val="4C633EBA"/>
    <w:rsid w:val="4CDB5DA5"/>
    <w:rsid w:val="4EF070EE"/>
    <w:rsid w:val="4F316058"/>
    <w:rsid w:val="502B3F12"/>
    <w:rsid w:val="50596B4B"/>
    <w:rsid w:val="529813DE"/>
    <w:rsid w:val="54252519"/>
    <w:rsid w:val="55E67F7B"/>
    <w:rsid w:val="56C32902"/>
    <w:rsid w:val="5A0F1650"/>
    <w:rsid w:val="5ABE475E"/>
    <w:rsid w:val="5F404A00"/>
    <w:rsid w:val="5F5466A1"/>
    <w:rsid w:val="5FC01066"/>
    <w:rsid w:val="61A54544"/>
    <w:rsid w:val="624B10B1"/>
    <w:rsid w:val="62BE34F5"/>
    <w:rsid w:val="63057105"/>
    <w:rsid w:val="63DC5AE3"/>
    <w:rsid w:val="643315A6"/>
    <w:rsid w:val="645F7864"/>
    <w:rsid w:val="64D276C3"/>
    <w:rsid w:val="65474C97"/>
    <w:rsid w:val="65FB49E1"/>
    <w:rsid w:val="65FF22E5"/>
    <w:rsid w:val="668002B5"/>
    <w:rsid w:val="6B2A0C5E"/>
    <w:rsid w:val="6BD510F7"/>
    <w:rsid w:val="6C673EE9"/>
    <w:rsid w:val="6ED92188"/>
    <w:rsid w:val="71CB5E83"/>
    <w:rsid w:val="728F3D2C"/>
    <w:rsid w:val="736D40E8"/>
    <w:rsid w:val="73CF7C0D"/>
    <w:rsid w:val="74394FB6"/>
    <w:rsid w:val="75282358"/>
    <w:rsid w:val="76E91A42"/>
    <w:rsid w:val="79F9733C"/>
    <w:rsid w:val="7B5A6CC2"/>
    <w:rsid w:val="7BE01E7B"/>
    <w:rsid w:val="7DC7140E"/>
    <w:rsid w:val="7E2C5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3"/>
    <w:basedOn w:val="1"/>
    <w:next w:val="1"/>
    <w:qFormat/>
    <w:uiPriority w:val="0"/>
    <w:pPr>
      <w:keepNext/>
      <w:outlineLvl w:val="2"/>
    </w:pPr>
    <w:rPr>
      <w:rFonts w:ascii="楷体_GB2312" w:hAnsi="宋体" w:eastAsia="黑体"/>
      <w:b/>
      <w:bCs/>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index 1"/>
    <w:basedOn w:val="1"/>
    <w:next w:val="1"/>
    <w:semiHidden/>
    <w:qFormat/>
    <w:uiPriority w:val="0"/>
    <w:pPr>
      <w:spacing w:line="400" w:lineRule="exact"/>
      <w:ind w:firstLine="420" w:firstLineChars="200"/>
    </w:pPr>
    <w:rPr>
      <w:rFonts w:ascii="宋体" w:hAnsi="Courier New"/>
      <w:b/>
      <w:szCs w:val="20"/>
    </w:rPr>
  </w:style>
  <w:style w:type="paragraph" w:styleId="5">
    <w:name w:val="annotation text"/>
    <w:basedOn w:val="1"/>
    <w:link w:val="22"/>
    <w:unhideWhenUsed/>
    <w:qFormat/>
    <w:uiPriority w:val="99"/>
    <w:pPr>
      <w:jc w:val="left"/>
    </w:pPr>
  </w:style>
  <w:style w:type="paragraph" w:styleId="6">
    <w:name w:val="Balloon Text"/>
    <w:basedOn w:val="1"/>
    <w:link w:val="19"/>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23"/>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FollowedHyperlink"/>
    <w:basedOn w:val="12"/>
    <w:semiHidden/>
    <w:unhideWhenUsed/>
    <w:qFormat/>
    <w:uiPriority w:val="99"/>
    <w:rPr>
      <w:color w:val="954F72" w:themeColor="followedHyperlink"/>
      <w:u w:val="single"/>
      <w14:textFill>
        <w14:solidFill>
          <w14:schemeClr w14:val="folHlink"/>
        </w14:solidFill>
      </w14:textFill>
    </w:rPr>
  </w:style>
  <w:style w:type="character" w:styleId="15">
    <w:name w:val="Hyperlink"/>
    <w:basedOn w:val="12"/>
    <w:unhideWhenUsed/>
    <w:qFormat/>
    <w:uiPriority w:val="99"/>
    <w:rPr>
      <w:color w:val="0563C1" w:themeColor="hyperlink"/>
      <w:u w:val="single"/>
      <w14:textFill>
        <w14:solidFill>
          <w14:schemeClr w14:val="hlink"/>
        </w14:solidFill>
      </w14:textFill>
    </w:rPr>
  </w:style>
  <w:style w:type="character" w:styleId="16">
    <w:name w:val="annotation reference"/>
    <w:basedOn w:val="12"/>
    <w:semiHidden/>
    <w:unhideWhenUsed/>
    <w:qFormat/>
    <w:uiPriority w:val="99"/>
    <w:rPr>
      <w:sz w:val="21"/>
      <w:szCs w:val="21"/>
    </w:rPr>
  </w:style>
  <w:style w:type="character" w:customStyle="1" w:styleId="17">
    <w:name w:val="页眉 字符"/>
    <w:basedOn w:val="12"/>
    <w:link w:val="8"/>
    <w:qFormat/>
    <w:uiPriority w:val="99"/>
    <w:rPr>
      <w:sz w:val="18"/>
      <w:szCs w:val="18"/>
    </w:rPr>
  </w:style>
  <w:style w:type="character" w:customStyle="1" w:styleId="18">
    <w:name w:val="页脚 字符"/>
    <w:basedOn w:val="12"/>
    <w:link w:val="7"/>
    <w:qFormat/>
    <w:uiPriority w:val="99"/>
    <w:rPr>
      <w:sz w:val="18"/>
      <w:szCs w:val="18"/>
    </w:rPr>
  </w:style>
  <w:style w:type="character" w:customStyle="1" w:styleId="19">
    <w:name w:val="批注框文本 字符"/>
    <w:basedOn w:val="12"/>
    <w:link w:val="6"/>
    <w:semiHidden/>
    <w:qFormat/>
    <w:uiPriority w:val="99"/>
    <w:rPr>
      <w:sz w:val="18"/>
      <w:szCs w:val="18"/>
    </w:rPr>
  </w:style>
  <w:style w:type="paragraph" w:styleId="20">
    <w:name w:val="List Paragraph"/>
    <w:basedOn w:val="1"/>
    <w:qFormat/>
    <w:uiPriority w:val="34"/>
    <w:pPr>
      <w:ind w:firstLine="420" w:firstLineChars="200"/>
    </w:pPr>
    <w:rPr>
      <w:rFonts w:eastAsia="黑体"/>
      <w:bCs/>
      <w:sz w:val="30"/>
      <w:szCs w:val="30"/>
    </w:rPr>
  </w:style>
  <w:style w:type="paragraph" w:customStyle="1" w:styleId="21">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2">
    <w:name w:val="批注文字 字符"/>
    <w:basedOn w:val="12"/>
    <w:link w:val="5"/>
    <w:qFormat/>
    <w:uiPriority w:val="99"/>
    <w:rPr>
      <w:rFonts w:asciiTheme="minorHAnsi" w:hAnsiTheme="minorHAnsi" w:eastAsiaTheme="minorEastAsia" w:cstheme="minorBidi"/>
      <w:kern w:val="2"/>
      <w:sz w:val="21"/>
      <w:szCs w:val="24"/>
    </w:rPr>
  </w:style>
  <w:style w:type="character" w:customStyle="1" w:styleId="23">
    <w:name w:val="批注主题 字符"/>
    <w:basedOn w:val="22"/>
    <w:link w:val="9"/>
    <w:semiHidden/>
    <w:qFormat/>
    <w:uiPriority w:val="99"/>
    <w:rPr>
      <w:rFonts w:asciiTheme="minorHAnsi" w:hAnsiTheme="minorHAnsi" w:eastAsiaTheme="minorEastAsia" w:cstheme="minorBidi"/>
      <w:b/>
      <w:bCs/>
      <w:kern w:val="2"/>
      <w:sz w:val="21"/>
      <w:szCs w:val="24"/>
    </w:rPr>
  </w:style>
  <w:style w:type="character" w:customStyle="1" w:styleId="24">
    <w:name w:val="标题 1 字符"/>
    <w:basedOn w:val="12"/>
    <w:link w:val="3"/>
    <w:qFormat/>
    <w:uiPriority w:val="9"/>
    <w:rPr>
      <w:rFonts w:asciiTheme="minorHAnsi" w:hAnsiTheme="minorHAnsi" w:eastAsiaTheme="minorEastAsia" w:cstheme="minorBidi"/>
      <w:b/>
      <w:bCs/>
      <w:kern w:val="44"/>
      <w:sz w:val="44"/>
      <w:szCs w:val="44"/>
    </w:rPr>
  </w:style>
  <w:style w:type="character" w:customStyle="1" w:styleId="25">
    <w:name w:val="未处理的提及1"/>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9EBCEA-0D0D-41EF-AF1A-160C019084B7}">
  <ds:schemaRefs/>
</ds:datastoreItem>
</file>

<file path=docProps/app.xml><?xml version="1.0" encoding="utf-8"?>
<Properties xmlns="http://schemas.openxmlformats.org/officeDocument/2006/extended-properties" xmlns:vt="http://schemas.openxmlformats.org/officeDocument/2006/docPropsVTypes">
  <Template>Normal.dotm</Template>
  <Company>SMET</Company>
  <Pages>4</Pages>
  <Words>1691</Words>
  <Characters>1734</Characters>
  <Lines>17</Lines>
  <Paragraphs>4</Paragraphs>
  <TotalTime>10</TotalTime>
  <ScaleCrop>false</ScaleCrop>
  <LinksUpToDate>false</LinksUpToDate>
  <CharactersWithSpaces>1863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2021-08-05T08:55:00Z</dcterms:created>
  <dc:creator>River</dc:creator>
  <cp:lastModifiedBy>WPS_1608520253</cp:lastModifiedBy>
  <cp:lastPrinted>2021-08-04T06:09:00Z</cp:lastPrinted>
  <dcterms:modified xsi:type="dcterms:W3CDTF">2025-09-26T06:45:47Z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700F6850901F4134BF086FE8B5134DFA</vt:lpwstr>
  </property>
  <property fmtid="{D5CDD505-2E9C-101B-9397-08002B2CF9AE}" pid="4" name="KSOTemplateDocerSaveRecord">
    <vt:lpwstr>eyJoZGlkIjoiODdmMjE1ZjM0N2M1Y2U5Yzk0NzI4OGI1OWY1MWIzNDQiLCJ1c2VySWQiOiIxMTUzNTY4MjM0In0=</vt:lpwstr>
  </property>
</Properties>
</file>