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华文中宋" w:hAnsi="华文中宋" w:eastAsia="华文中宋"/>
          <w:b/>
          <w:sz w:val="72"/>
        </w:rPr>
      </w:pPr>
    </w:p>
    <w:p>
      <w:pPr>
        <w:snapToGrid w:val="0"/>
        <w:spacing w:beforeLines="50"/>
        <w:jc w:val="center"/>
        <w:rPr>
          <w:rFonts w:ascii="宋体" w:hAnsi="宋体" w:cs="华文中宋"/>
          <w:b/>
          <w:bCs/>
          <w:sz w:val="72"/>
          <w:szCs w:val="72"/>
        </w:rPr>
      </w:pPr>
      <w:r>
        <w:rPr>
          <w:rFonts w:hint="eastAsia" w:ascii="宋体" w:hAnsi="宋体" w:cs="华文中宋"/>
          <w:b/>
          <w:bCs/>
          <w:sz w:val="72"/>
          <w:szCs w:val="72"/>
        </w:rPr>
        <w:t>中山市第三人民医院</w:t>
      </w:r>
    </w:p>
    <w:p>
      <w:pPr>
        <w:snapToGrid w:val="0"/>
        <w:spacing w:beforeLines="50"/>
        <w:jc w:val="center"/>
        <w:rPr>
          <w:rFonts w:ascii="宋体" w:hAnsi="宋体" w:cs="华文中宋"/>
          <w:b/>
          <w:bCs/>
          <w:sz w:val="72"/>
          <w:szCs w:val="72"/>
        </w:rPr>
      </w:pPr>
      <w:r>
        <w:rPr>
          <w:rFonts w:hint="eastAsia" w:ascii="宋体" w:hAnsi="宋体" w:cs="华文中宋"/>
          <w:b/>
          <w:bCs/>
          <w:sz w:val="72"/>
          <w:szCs w:val="72"/>
        </w:rPr>
        <w:t>院内谈判文件</w:t>
      </w:r>
    </w:p>
    <w:p>
      <w:pPr>
        <w:snapToGrid w:val="0"/>
        <w:jc w:val="center"/>
        <w:rPr>
          <w:rFonts w:ascii="宋体" w:hAnsi="宋体"/>
          <w:b/>
          <w:bCs/>
          <w:sz w:val="48"/>
          <w:szCs w:val="72"/>
        </w:rPr>
      </w:pPr>
      <w:r>
        <w:rPr>
          <w:rFonts w:hint="eastAsia" w:ascii="宋体" w:hAnsi="宋体" w:cs="华文中宋"/>
          <w:b/>
          <w:bCs/>
          <w:sz w:val="48"/>
          <w:szCs w:val="72"/>
        </w:rPr>
        <w:t>（</w:t>
      </w:r>
      <w:r>
        <w:rPr>
          <w:rFonts w:hint="eastAsia" w:ascii="宋体" w:hAnsi="宋体" w:cs="华文中宋"/>
          <w:b/>
          <w:bCs/>
          <w:sz w:val="48"/>
          <w:szCs w:val="72"/>
          <w:lang w:val="en-US" w:eastAsia="zh-CN"/>
        </w:rPr>
        <w:t>负压</w:t>
      </w:r>
      <w:r>
        <w:rPr>
          <w:rFonts w:hint="eastAsia" w:ascii="宋体" w:hAnsi="宋体" w:cs="华文中宋"/>
          <w:b/>
          <w:bCs/>
          <w:sz w:val="48"/>
          <w:szCs w:val="72"/>
        </w:rPr>
        <w:t>救护车）</w:t>
      </w:r>
    </w:p>
    <w:p>
      <w:pPr>
        <w:snapToGrid w:val="0"/>
        <w:spacing w:beforeLines="50"/>
        <w:jc w:val="center"/>
        <w:rPr>
          <w:rFonts w:ascii="仿宋_GB2312" w:eastAsia="仿宋_GB2312"/>
          <w:b/>
          <w:bCs/>
          <w:sz w:val="72"/>
          <w:szCs w:val="72"/>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17"/>
        <w:spacing w:line="360" w:lineRule="auto"/>
        <w:rPr>
          <w:rFonts w:ascii="宋体" w:hAnsi="宋体"/>
          <w:b/>
          <w:sz w:val="32"/>
        </w:rPr>
      </w:pPr>
      <w:r>
        <w:rPr>
          <w:rFonts w:hint="eastAsia" w:ascii="宋体" w:hAnsi="宋体"/>
          <w:b/>
          <w:sz w:val="32"/>
        </w:rPr>
        <w:t>项目编号：</w:t>
      </w:r>
    </w:p>
    <w:p>
      <w:pPr>
        <w:pStyle w:val="17"/>
        <w:spacing w:line="360" w:lineRule="auto"/>
        <w:rPr>
          <w:rFonts w:ascii="宋体" w:hAnsi="宋体"/>
          <w:b/>
          <w:sz w:val="32"/>
        </w:rPr>
      </w:pPr>
      <w:r>
        <w:rPr>
          <w:rFonts w:hint="eastAsia" w:ascii="宋体" w:hAnsi="宋体"/>
          <w:b/>
          <w:sz w:val="32"/>
        </w:rPr>
        <w:t>项目名称：中山市第三人民医</w:t>
      </w:r>
      <w:r>
        <w:rPr>
          <w:rFonts w:hint="eastAsia" w:ascii="宋体" w:hAnsi="宋体"/>
          <w:b/>
          <w:sz w:val="32"/>
          <w:lang w:val="en-US" w:eastAsia="zh-CN"/>
        </w:rPr>
        <w:t>负压</w:t>
      </w:r>
      <w:r>
        <w:rPr>
          <w:rFonts w:hint="eastAsia" w:ascii="宋体" w:hAnsi="宋体"/>
          <w:b/>
          <w:sz w:val="32"/>
        </w:rPr>
        <w:t>院救护车</w:t>
      </w:r>
      <w:r>
        <w:rPr>
          <w:rFonts w:hint="eastAsia" w:ascii="宋体" w:hAnsi="宋体"/>
          <w:b/>
          <w:sz w:val="32"/>
          <w:lang w:val="en-US" w:eastAsia="zh-CN"/>
        </w:rPr>
        <w:t>购置</w:t>
      </w:r>
      <w:r>
        <w:rPr>
          <w:rFonts w:hint="eastAsia" w:ascii="宋体" w:hAnsi="宋体"/>
          <w:b/>
          <w:sz w:val="32"/>
        </w:rPr>
        <w:t>项目</w:t>
      </w:r>
    </w:p>
    <w:p>
      <w:pPr>
        <w:pStyle w:val="17"/>
        <w:spacing w:line="360" w:lineRule="auto"/>
        <w:rPr>
          <w:rFonts w:ascii="宋体" w:hAnsi="宋体"/>
          <w:b/>
          <w:sz w:val="32"/>
        </w:rPr>
      </w:pPr>
    </w:p>
    <w:p>
      <w:pPr>
        <w:snapToGrid w:val="0"/>
        <w:spacing w:line="360" w:lineRule="auto"/>
        <w:rPr>
          <w:rFonts w:ascii="宋体" w:hAnsi="宋体"/>
          <w:sz w:val="32"/>
        </w:rPr>
      </w:pPr>
    </w:p>
    <w:p>
      <w:pPr>
        <w:spacing w:line="360" w:lineRule="auto"/>
        <w:rPr>
          <w:rFonts w:ascii="宋体" w:hAnsi="宋体"/>
          <w:sz w:val="30"/>
        </w:rPr>
      </w:pPr>
    </w:p>
    <w:p>
      <w:pPr>
        <w:spacing w:line="360" w:lineRule="auto"/>
        <w:rPr>
          <w:rFonts w:ascii="宋体" w:hAnsi="宋体"/>
          <w:sz w:val="30"/>
        </w:rPr>
      </w:pPr>
    </w:p>
    <w:p>
      <w:pPr>
        <w:snapToGrid w:val="0"/>
        <w:spacing w:line="360" w:lineRule="auto"/>
        <w:jc w:val="center"/>
        <w:rPr>
          <w:rFonts w:ascii="宋体" w:hAnsi="宋体" w:cs="华文中宋"/>
          <w:sz w:val="30"/>
          <w:szCs w:val="30"/>
        </w:rPr>
      </w:pPr>
    </w:p>
    <w:p>
      <w:pPr>
        <w:snapToGrid w:val="0"/>
        <w:spacing w:line="360" w:lineRule="auto"/>
        <w:jc w:val="center"/>
        <w:rPr>
          <w:rFonts w:ascii="宋体" w:hAnsi="宋体" w:cs="华文中宋"/>
          <w:sz w:val="30"/>
          <w:szCs w:val="30"/>
        </w:rPr>
      </w:pPr>
    </w:p>
    <w:p>
      <w:pPr>
        <w:snapToGrid w:val="0"/>
        <w:spacing w:line="360" w:lineRule="auto"/>
        <w:jc w:val="center"/>
        <w:rPr>
          <w:rFonts w:ascii="宋体" w:hAnsi="宋体" w:cs="华文中宋"/>
          <w:sz w:val="30"/>
          <w:szCs w:val="30"/>
        </w:rPr>
      </w:pPr>
    </w:p>
    <w:p>
      <w:pPr>
        <w:snapToGrid w:val="0"/>
        <w:spacing w:line="360" w:lineRule="auto"/>
        <w:jc w:val="center"/>
        <w:rPr>
          <w:rFonts w:ascii="黑体" w:hAnsi="华文中宋" w:eastAsia="黑体" w:cs="华文中宋"/>
          <w:sz w:val="30"/>
          <w:szCs w:val="30"/>
        </w:rPr>
      </w:pPr>
      <w:r>
        <w:rPr>
          <w:rFonts w:hint="eastAsia" w:ascii="宋体" w:hAnsi="宋体" w:cs="华文中宋"/>
          <w:sz w:val="30"/>
          <w:szCs w:val="30"/>
        </w:rPr>
        <w:t>202</w:t>
      </w:r>
      <w:r>
        <w:rPr>
          <w:rFonts w:hint="eastAsia" w:ascii="宋体" w:hAnsi="宋体" w:cs="华文中宋"/>
          <w:sz w:val="30"/>
          <w:szCs w:val="30"/>
          <w:lang w:val="en-US" w:eastAsia="zh-CN"/>
        </w:rPr>
        <w:t>2</w:t>
      </w:r>
      <w:r>
        <w:rPr>
          <w:rFonts w:ascii="宋体" w:hAnsi="宋体" w:cs="华文中宋"/>
          <w:sz w:val="30"/>
          <w:szCs w:val="30"/>
        </w:rPr>
        <w:t>年</w:t>
      </w:r>
      <w:r>
        <w:rPr>
          <w:rFonts w:hint="eastAsia" w:ascii="宋体" w:hAnsi="宋体" w:cs="华文中宋"/>
          <w:sz w:val="30"/>
          <w:szCs w:val="30"/>
          <w:lang w:val="en-US" w:eastAsia="zh-CN"/>
        </w:rPr>
        <w:t>5</w:t>
      </w:r>
      <w:r>
        <w:rPr>
          <w:rFonts w:ascii="宋体" w:hAnsi="宋体" w:cs="华文中宋"/>
          <w:sz w:val="30"/>
          <w:szCs w:val="30"/>
        </w:rPr>
        <w:t>月</w:t>
      </w:r>
    </w:p>
    <w:p>
      <w:pPr>
        <w:snapToGrid w:val="0"/>
        <w:spacing w:line="360" w:lineRule="auto"/>
        <w:jc w:val="center"/>
        <w:rPr>
          <w:rFonts w:ascii="黑体" w:hAnsi="华文中宋" w:eastAsia="黑体" w:cs="华文中宋"/>
          <w:sz w:val="30"/>
          <w:szCs w:val="30"/>
        </w:rPr>
      </w:pPr>
    </w:p>
    <w:p>
      <w:pPr>
        <w:snapToGrid w:val="0"/>
        <w:spacing w:line="360" w:lineRule="auto"/>
        <w:jc w:val="center"/>
        <w:rPr>
          <w:rFonts w:ascii="黑体" w:hAnsi="华文中宋" w:eastAsia="黑体" w:cs="华文中宋"/>
          <w:sz w:val="30"/>
          <w:szCs w:val="30"/>
        </w:rPr>
      </w:pPr>
    </w:p>
    <w:p>
      <w:pPr>
        <w:spacing w:line="520" w:lineRule="exact"/>
        <w:rPr>
          <w:rFonts w:ascii="宋体" w:hAnsi="宋体"/>
        </w:rPr>
      </w:pPr>
    </w:p>
    <w:p>
      <w:pPr>
        <w:spacing w:beforeLines="50" w:afterLines="50" w:line="360" w:lineRule="auto"/>
        <w:jc w:val="center"/>
        <w:outlineLvl w:val="0"/>
        <w:rPr>
          <w:b/>
          <w:bCs/>
          <w:sz w:val="30"/>
          <w:szCs w:val="30"/>
        </w:rPr>
      </w:pPr>
      <w:bookmarkStart w:id="0" w:name="_Toc447699757"/>
      <w:r>
        <w:rPr>
          <w:rFonts w:hint="eastAsia"/>
          <w:b/>
          <w:bCs/>
          <w:sz w:val="28"/>
          <w:szCs w:val="28"/>
        </w:rPr>
        <w:t>第一</w:t>
      </w:r>
      <w:r>
        <w:rPr>
          <w:b/>
          <w:bCs/>
          <w:sz w:val="28"/>
          <w:szCs w:val="28"/>
        </w:rPr>
        <w:t>章</w:t>
      </w:r>
      <w:bookmarkEnd w:id="0"/>
      <w:r>
        <w:rPr>
          <w:rFonts w:hint="eastAsia"/>
          <w:b/>
          <w:bCs/>
          <w:sz w:val="28"/>
          <w:szCs w:val="28"/>
        </w:rPr>
        <w:t>谈判邀请函</w:t>
      </w:r>
    </w:p>
    <w:p>
      <w:pPr>
        <w:adjustRightInd w:val="0"/>
        <w:snapToGrid w:val="0"/>
        <w:spacing w:line="460" w:lineRule="exact"/>
        <w:ind w:firstLine="420" w:firstLineChars="200"/>
        <w:rPr>
          <w:rFonts w:ascii="宋体" w:hAnsi="宋体"/>
        </w:rPr>
      </w:pPr>
      <w:r>
        <w:rPr>
          <w:rFonts w:hint="eastAsia" w:ascii="宋体"/>
          <w:bCs/>
          <w:szCs w:val="20"/>
        </w:rPr>
        <w:t>中山市第三人民医院（以下简称“采购人”）</w:t>
      </w:r>
      <w:r>
        <w:rPr>
          <w:rFonts w:hint="eastAsia" w:ascii="宋体"/>
          <w:bCs/>
          <w:szCs w:val="21"/>
        </w:rPr>
        <w:t>，</w:t>
      </w:r>
      <w:r>
        <w:rPr>
          <w:rFonts w:hint="eastAsia" w:ascii="宋体" w:hAnsi="宋体"/>
          <w:bCs/>
          <w:szCs w:val="21"/>
        </w:rPr>
        <w:t>对以下项目进行竞争性谈判</w:t>
      </w:r>
      <w:r>
        <w:rPr>
          <w:rFonts w:hint="eastAsia" w:ascii="宋体"/>
          <w:bCs/>
          <w:szCs w:val="21"/>
        </w:rPr>
        <w:t>采购，</w:t>
      </w:r>
      <w:r>
        <w:rPr>
          <w:rFonts w:hint="eastAsia" w:ascii="宋体" w:hAnsi="宋体"/>
          <w:szCs w:val="21"/>
        </w:rPr>
        <w:t>欢迎</w:t>
      </w:r>
      <w:r>
        <w:rPr>
          <w:rFonts w:hint="eastAsia" w:ascii="宋体" w:hAnsi="宋体"/>
        </w:rPr>
        <w:t>符合条件的</w:t>
      </w:r>
      <w:r>
        <w:rPr>
          <w:rFonts w:hint="eastAsia" w:ascii="宋体" w:hAnsi="宋体"/>
          <w:bCs/>
          <w:szCs w:val="21"/>
        </w:rPr>
        <w:t>供应商参与</w:t>
      </w:r>
      <w:r>
        <w:rPr>
          <w:rFonts w:hint="eastAsia" w:ascii="宋体" w:hAnsi="宋体"/>
        </w:rPr>
        <w:t>。</w:t>
      </w:r>
    </w:p>
    <w:p>
      <w:pPr>
        <w:adjustRightInd w:val="0"/>
        <w:snapToGrid w:val="0"/>
        <w:spacing w:line="460" w:lineRule="exact"/>
        <w:ind w:firstLine="420" w:firstLineChars="200"/>
        <w:rPr>
          <w:rFonts w:ascii="宋体"/>
          <w:bCs/>
          <w:szCs w:val="20"/>
        </w:rPr>
      </w:pPr>
      <w:r>
        <w:rPr>
          <w:rFonts w:hint="eastAsia" w:ascii="宋体"/>
          <w:bCs/>
          <w:szCs w:val="20"/>
        </w:rPr>
        <w:t>一、采购项目编号：</w:t>
      </w:r>
    </w:p>
    <w:p>
      <w:pPr>
        <w:adjustRightInd w:val="0"/>
        <w:snapToGrid w:val="0"/>
        <w:spacing w:line="460" w:lineRule="exact"/>
        <w:ind w:firstLine="420" w:firstLineChars="200"/>
        <w:rPr>
          <w:rFonts w:ascii="宋体" w:hAnsi="宋体"/>
        </w:rPr>
      </w:pPr>
      <w:r>
        <w:rPr>
          <w:rFonts w:hint="eastAsia" w:ascii="宋体"/>
          <w:bCs/>
          <w:szCs w:val="20"/>
        </w:rPr>
        <w:t>二、采购项目名称：中山市第三人民医院</w:t>
      </w:r>
      <w:r>
        <w:rPr>
          <w:rFonts w:hint="eastAsia" w:ascii="宋体"/>
          <w:bCs/>
          <w:szCs w:val="20"/>
          <w:lang w:val="en-US" w:eastAsia="zh-CN"/>
        </w:rPr>
        <w:t>负压</w:t>
      </w:r>
      <w:r>
        <w:rPr>
          <w:rFonts w:hint="eastAsia" w:ascii="宋体"/>
          <w:bCs/>
          <w:szCs w:val="20"/>
        </w:rPr>
        <w:t>救护车</w:t>
      </w:r>
      <w:r>
        <w:rPr>
          <w:rFonts w:hint="eastAsia" w:ascii="宋体"/>
          <w:bCs/>
          <w:szCs w:val="20"/>
          <w:lang w:val="en-US" w:eastAsia="zh-CN"/>
        </w:rPr>
        <w:t>购置</w:t>
      </w:r>
      <w:r>
        <w:rPr>
          <w:rFonts w:hint="eastAsia" w:ascii="宋体"/>
          <w:bCs/>
          <w:szCs w:val="20"/>
        </w:rPr>
        <w:t>项目</w:t>
      </w:r>
      <w:r>
        <w:rPr>
          <w:rFonts w:hint="eastAsia" w:ascii="宋体" w:hAnsi="宋体"/>
        </w:rPr>
        <w:t>。</w:t>
      </w:r>
    </w:p>
    <w:p>
      <w:pPr>
        <w:adjustRightInd w:val="0"/>
        <w:snapToGrid w:val="0"/>
        <w:spacing w:line="460" w:lineRule="exact"/>
        <w:ind w:firstLine="420" w:firstLineChars="200"/>
        <w:rPr>
          <w:rFonts w:ascii="宋体" w:hAnsi="宋体"/>
        </w:rPr>
      </w:pPr>
      <w:r>
        <w:rPr>
          <w:rFonts w:hint="eastAsia" w:ascii="宋体" w:hAnsi="宋体"/>
        </w:rPr>
        <w:t>三、项目类型：采购设备类。</w:t>
      </w:r>
    </w:p>
    <w:p>
      <w:pPr>
        <w:adjustRightInd w:val="0"/>
        <w:snapToGrid w:val="0"/>
        <w:spacing w:line="460" w:lineRule="exact"/>
        <w:ind w:firstLine="420" w:firstLineChars="200"/>
        <w:rPr>
          <w:rFonts w:ascii="宋体"/>
          <w:bCs/>
          <w:szCs w:val="21"/>
        </w:rPr>
      </w:pPr>
      <w:r>
        <w:rPr>
          <w:rFonts w:hint="eastAsia" w:ascii="宋体"/>
          <w:bCs/>
          <w:szCs w:val="20"/>
        </w:rPr>
        <w:t>四、采购项目预算金额：人民币</w:t>
      </w:r>
      <w:r>
        <w:rPr>
          <w:rFonts w:hint="eastAsia" w:ascii="宋体"/>
          <w:bCs/>
          <w:szCs w:val="21"/>
        </w:rPr>
        <w:t>5</w:t>
      </w:r>
      <w:r>
        <w:rPr>
          <w:rFonts w:hint="eastAsia" w:ascii="宋体"/>
          <w:bCs/>
          <w:szCs w:val="21"/>
          <w:lang w:val="en-US" w:eastAsia="zh-CN"/>
        </w:rPr>
        <w:t>0</w:t>
      </w:r>
      <w:r>
        <w:rPr>
          <w:rFonts w:hint="eastAsia" w:ascii="宋体"/>
          <w:bCs/>
          <w:szCs w:val="21"/>
        </w:rPr>
        <w:t>万。</w:t>
      </w:r>
    </w:p>
    <w:p>
      <w:pPr>
        <w:pStyle w:val="76"/>
        <w:adjustRightInd w:val="0"/>
        <w:snapToGrid w:val="0"/>
        <w:spacing w:line="460" w:lineRule="exact"/>
        <w:ind w:firstLineChars="0"/>
        <w:rPr>
          <w:rFonts w:ascii="宋体"/>
          <w:bCs/>
          <w:szCs w:val="20"/>
        </w:rPr>
      </w:pPr>
      <w:r>
        <w:rPr>
          <w:rFonts w:hint="eastAsia" w:ascii="宋体"/>
          <w:bCs/>
          <w:szCs w:val="20"/>
        </w:rPr>
        <w:t>五、供应商资格要求</w:t>
      </w:r>
    </w:p>
    <w:p>
      <w:pPr>
        <w:spacing w:line="460" w:lineRule="exact"/>
        <w:ind w:firstLine="420" w:firstLineChars="200"/>
        <w:rPr>
          <w:rFonts w:ascii="宋体" w:hAnsi="宋体"/>
          <w:b/>
          <w:bCs/>
          <w:szCs w:val="20"/>
        </w:rPr>
      </w:pPr>
      <w:r>
        <w:rPr>
          <w:rFonts w:hint="eastAsia" w:ascii="宋体" w:hAnsi="宋体"/>
          <w:bCs/>
          <w:szCs w:val="20"/>
        </w:rPr>
        <w:t xml:space="preserve">5.1 </w:t>
      </w:r>
      <w:r>
        <w:rPr>
          <w:rFonts w:ascii="宋体" w:hAnsi="宋体"/>
          <w:bCs/>
          <w:szCs w:val="20"/>
        </w:rPr>
        <w:t>具有独立承担民事责任的能力</w:t>
      </w:r>
      <w:r>
        <w:rPr>
          <w:rFonts w:hint="eastAsia" w:ascii="宋体" w:hAnsi="宋体"/>
          <w:bCs/>
          <w:szCs w:val="20"/>
        </w:rPr>
        <w:t>；</w:t>
      </w:r>
      <w:r>
        <w:rPr>
          <w:rFonts w:hint="eastAsia" w:ascii="宋体" w:hAnsi="宋体"/>
          <w:b/>
          <w:bCs/>
          <w:szCs w:val="20"/>
        </w:rPr>
        <w:t>(提供有效营业执照副本及公司简介)</w:t>
      </w:r>
    </w:p>
    <w:p>
      <w:pPr>
        <w:spacing w:line="324" w:lineRule="auto"/>
        <w:ind w:firstLine="420" w:firstLineChars="200"/>
        <w:rPr>
          <w:rFonts w:ascii="宋体" w:hAnsi="宋体"/>
          <w:b/>
          <w:bCs/>
          <w:szCs w:val="20"/>
        </w:rPr>
      </w:pPr>
      <w:r>
        <w:rPr>
          <w:rFonts w:hint="eastAsia" w:ascii="宋体" w:hAnsi="宋体"/>
          <w:bCs/>
          <w:szCs w:val="20"/>
        </w:rPr>
        <w:t>5.2</w:t>
      </w:r>
      <w:r>
        <w:rPr>
          <w:rFonts w:ascii="宋体" w:hAnsi="宋体"/>
          <w:bCs/>
          <w:szCs w:val="20"/>
        </w:rPr>
        <w:t>具有履行合同所必需的设备和专业技术能力；</w:t>
      </w:r>
      <w:r>
        <w:rPr>
          <w:rFonts w:hint="eastAsia" w:ascii="宋体" w:hAnsi="宋体"/>
          <w:b/>
          <w:bCs/>
          <w:szCs w:val="20"/>
        </w:rPr>
        <w:t>(提供其他履行过的类似合同和客户评价，提供必要的维修设备清单等)</w:t>
      </w:r>
    </w:p>
    <w:p>
      <w:pPr>
        <w:spacing w:line="460" w:lineRule="exact"/>
        <w:ind w:firstLine="420" w:firstLineChars="200"/>
      </w:pPr>
      <w:r>
        <w:rPr>
          <w:rFonts w:hint="eastAsia" w:ascii="宋体" w:hAnsi="宋体"/>
          <w:szCs w:val="21"/>
        </w:rPr>
        <w:t>5.3供应商须</w:t>
      </w:r>
      <w:r>
        <w:rPr>
          <w:rFonts w:hint="eastAsia"/>
        </w:rPr>
        <w:t>独立于采购人，</w:t>
      </w:r>
      <w:r>
        <w:rPr>
          <w:rFonts w:ascii="宋体" w:hAnsi="宋体"/>
        </w:rPr>
        <w:t>单位负责人为同一人或者存在直接控股、管理关系的不同供应商，不得同时参加本项目的投标活动</w:t>
      </w:r>
      <w:r>
        <w:rPr>
          <w:rFonts w:hint="eastAsia"/>
        </w:rPr>
        <w:t>。</w:t>
      </w:r>
    </w:p>
    <w:p>
      <w:pPr>
        <w:spacing w:line="460" w:lineRule="exact"/>
        <w:ind w:firstLine="420" w:firstLineChars="200"/>
        <w:rPr>
          <w:rFonts w:ascii="宋体" w:hAnsi="宋体"/>
          <w:szCs w:val="21"/>
        </w:rPr>
      </w:pPr>
      <w:r>
        <w:rPr>
          <w:rFonts w:hint="eastAsia" w:ascii="宋体" w:hAnsi="宋体"/>
          <w:szCs w:val="21"/>
        </w:rPr>
        <w:t>5.4本项目不接受联合体投标。</w:t>
      </w:r>
    </w:p>
    <w:p>
      <w:pPr>
        <w:widowControl/>
        <w:tabs>
          <w:tab w:val="left" w:pos="420"/>
          <w:tab w:val="left" w:pos="525"/>
        </w:tabs>
        <w:spacing w:line="460" w:lineRule="exact"/>
        <w:ind w:firstLine="420" w:firstLineChars="200"/>
        <w:jc w:val="left"/>
        <w:rPr>
          <w:szCs w:val="21"/>
          <w:lang w:val="zh-CN"/>
        </w:rPr>
      </w:pPr>
      <w:r>
        <w:rPr>
          <w:rFonts w:hint="eastAsia"/>
          <w:szCs w:val="21"/>
          <w:lang w:val="zh-CN"/>
        </w:rPr>
        <w:t>六、招标采购相关时间</w:t>
      </w:r>
    </w:p>
    <w:p>
      <w:pPr>
        <w:widowControl/>
        <w:tabs>
          <w:tab w:val="left" w:pos="420"/>
          <w:tab w:val="left" w:pos="525"/>
        </w:tabs>
        <w:spacing w:line="460" w:lineRule="exact"/>
        <w:ind w:firstLine="420" w:firstLineChars="200"/>
        <w:jc w:val="left"/>
        <w:rPr>
          <w:rFonts w:ascii="宋体" w:hAnsi="宋体"/>
          <w:bCs/>
          <w:szCs w:val="20"/>
        </w:rPr>
      </w:pPr>
      <w:r>
        <w:rPr>
          <w:rFonts w:hint="eastAsia" w:ascii="宋体" w:hAnsi="宋体"/>
          <w:bCs/>
          <w:szCs w:val="20"/>
        </w:rPr>
        <w:t>6.1</w:t>
      </w:r>
      <w:r>
        <w:rPr>
          <w:rFonts w:hint="eastAsia"/>
          <w:szCs w:val="21"/>
          <w:lang w:val="zh-CN"/>
        </w:rPr>
        <w:t>报名时间：</w:t>
      </w:r>
      <w:r>
        <w:rPr>
          <w:rFonts w:hint="eastAsia" w:ascii="宋体" w:hAnsi="宋体"/>
          <w:bCs/>
          <w:szCs w:val="20"/>
          <w:u w:val="single"/>
        </w:rPr>
        <w:t>202</w:t>
      </w:r>
      <w:r>
        <w:rPr>
          <w:rFonts w:hint="eastAsia" w:ascii="宋体" w:hAnsi="宋体"/>
          <w:bCs/>
          <w:szCs w:val="20"/>
          <w:u w:val="single"/>
          <w:lang w:val="en-US" w:eastAsia="zh-CN"/>
        </w:rPr>
        <w:t>2</w:t>
      </w:r>
      <w:r>
        <w:rPr>
          <w:rFonts w:hint="eastAsia" w:ascii="宋体" w:hAnsi="宋体"/>
          <w:bCs/>
          <w:szCs w:val="20"/>
        </w:rPr>
        <w:t>年</w:t>
      </w:r>
      <w:r>
        <w:rPr>
          <w:rFonts w:hint="eastAsia" w:ascii="宋体" w:hAnsi="宋体"/>
          <w:bCs/>
          <w:szCs w:val="20"/>
          <w:u w:val="single"/>
          <w:lang w:val="en-US" w:eastAsia="zh-CN"/>
        </w:rPr>
        <w:t>5</w:t>
      </w:r>
      <w:r>
        <w:rPr>
          <w:rFonts w:hint="eastAsia" w:ascii="宋体" w:hAnsi="宋体"/>
          <w:bCs/>
          <w:szCs w:val="20"/>
        </w:rPr>
        <w:t>月</w:t>
      </w:r>
      <w:r>
        <w:rPr>
          <w:rFonts w:hint="eastAsia" w:ascii="宋体" w:hAnsi="宋体"/>
          <w:bCs/>
          <w:szCs w:val="20"/>
          <w:u w:val="single"/>
        </w:rPr>
        <w:t>1</w:t>
      </w:r>
      <w:r>
        <w:rPr>
          <w:rFonts w:hint="eastAsia" w:ascii="宋体" w:hAnsi="宋体"/>
          <w:bCs/>
          <w:szCs w:val="20"/>
          <w:u w:val="single"/>
          <w:lang w:val="en-US" w:eastAsia="zh-CN"/>
        </w:rPr>
        <w:t>6</w:t>
      </w:r>
      <w:r>
        <w:rPr>
          <w:rFonts w:hint="eastAsia" w:ascii="宋体" w:hAnsi="宋体"/>
          <w:bCs/>
          <w:szCs w:val="20"/>
        </w:rPr>
        <w:t>日至</w:t>
      </w:r>
      <w:r>
        <w:rPr>
          <w:rFonts w:hint="eastAsia" w:ascii="宋体" w:hAnsi="宋体"/>
          <w:bCs/>
          <w:szCs w:val="20"/>
          <w:u w:val="single"/>
        </w:rPr>
        <w:t>202</w:t>
      </w:r>
      <w:r>
        <w:rPr>
          <w:rFonts w:hint="eastAsia" w:ascii="宋体" w:hAnsi="宋体"/>
          <w:bCs/>
          <w:szCs w:val="20"/>
          <w:u w:val="single"/>
          <w:lang w:val="en-US" w:eastAsia="zh-CN"/>
        </w:rPr>
        <w:t>2</w:t>
      </w:r>
      <w:r>
        <w:rPr>
          <w:rFonts w:hint="eastAsia" w:ascii="宋体" w:hAnsi="宋体"/>
          <w:bCs/>
          <w:szCs w:val="20"/>
        </w:rPr>
        <w:t>年</w:t>
      </w:r>
      <w:r>
        <w:rPr>
          <w:rFonts w:hint="eastAsia" w:ascii="宋体" w:hAnsi="宋体"/>
          <w:bCs/>
          <w:szCs w:val="20"/>
          <w:u w:val="single"/>
          <w:lang w:val="en-US" w:eastAsia="zh-CN"/>
        </w:rPr>
        <w:t>5</w:t>
      </w:r>
      <w:r>
        <w:rPr>
          <w:rFonts w:hint="eastAsia" w:ascii="宋体" w:hAnsi="宋体"/>
          <w:bCs/>
          <w:szCs w:val="20"/>
        </w:rPr>
        <w:t>月</w:t>
      </w:r>
      <w:r>
        <w:rPr>
          <w:rFonts w:hint="eastAsia" w:ascii="宋体" w:hAnsi="宋体"/>
          <w:bCs/>
          <w:szCs w:val="20"/>
          <w:u w:val="single"/>
          <w:lang w:val="en-US" w:eastAsia="zh-CN"/>
        </w:rPr>
        <w:t>20</w:t>
      </w:r>
      <w:r>
        <w:rPr>
          <w:rFonts w:hint="eastAsia" w:ascii="宋体" w:hAnsi="宋体"/>
          <w:bCs/>
          <w:szCs w:val="20"/>
        </w:rPr>
        <w:t>日</w:t>
      </w:r>
      <w:r>
        <w:rPr>
          <w:rFonts w:hint="eastAsia" w:ascii="宋体" w:hAnsi="宋体"/>
          <w:bCs/>
          <w:szCs w:val="20"/>
          <w:lang w:val="en-US" w:eastAsia="zh-CN"/>
        </w:rPr>
        <w:t>9</w:t>
      </w:r>
      <w:bookmarkStart w:id="10" w:name="_GoBack"/>
      <w:bookmarkEnd w:id="10"/>
      <w:r>
        <w:rPr>
          <w:rFonts w:hint="eastAsia" w:ascii="宋体" w:hAnsi="宋体"/>
          <w:bCs/>
          <w:szCs w:val="20"/>
        </w:rPr>
        <w:t>:</w:t>
      </w:r>
      <w:r>
        <w:rPr>
          <w:rFonts w:hint="eastAsia" w:ascii="宋体" w:hAnsi="宋体"/>
          <w:bCs/>
          <w:szCs w:val="20"/>
          <w:lang w:val="en-US" w:eastAsia="zh-CN"/>
        </w:rPr>
        <w:t>00</w:t>
      </w:r>
      <w:r>
        <w:rPr>
          <w:rFonts w:hint="eastAsia" w:ascii="宋体" w:hAnsi="宋体"/>
          <w:bCs/>
          <w:szCs w:val="20"/>
        </w:rPr>
        <w:t>（现场报名）。</w:t>
      </w:r>
    </w:p>
    <w:p>
      <w:pPr>
        <w:widowControl/>
        <w:tabs>
          <w:tab w:val="left" w:pos="420"/>
          <w:tab w:val="left" w:pos="525"/>
        </w:tabs>
        <w:spacing w:line="460" w:lineRule="exact"/>
        <w:ind w:firstLine="420" w:firstLineChars="200"/>
        <w:jc w:val="left"/>
        <w:rPr>
          <w:szCs w:val="21"/>
          <w:lang w:val="zh-CN"/>
        </w:rPr>
      </w:pPr>
      <w:r>
        <w:rPr>
          <w:rFonts w:hint="eastAsia" w:ascii="宋体" w:hAnsi="宋体"/>
          <w:szCs w:val="21"/>
        </w:rPr>
        <w:t>6</w:t>
      </w:r>
      <w:r>
        <w:rPr>
          <w:rFonts w:hint="eastAsia" w:ascii="宋体" w:hAnsi="宋体"/>
          <w:szCs w:val="21"/>
          <w:lang w:val="zh-CN"/>
        </w:rPr>
        <w:t>.3</w:t>
      </w:r>
      <w:r>
        <w:rPr>
          <w:rFonts w:hint="eastAsia" w:ascii="宋体" w:hAnsi="宋体"/>
          <w:bCs/>
          <w:szCs w:val="20"/>
        </w:rPr>
        <w:t>谈判时间：</w:t>
      </w:r>
      <w:r>
        <w:rPr>
          <w:rFonts w:hint="eastAsia" w:ascii="宋体" w:hAnsi="宋体"/>
          <w:bCs/>
          <w:szCs w:val="20"/>
          <w:u w:val="single"/>
        </w:rPr>
        <w:t>202</w:t>
      </w:r>
      <w:r>
        <w:rPr>
          <w:rFonts w:hint="eastAsia" w:ascii="宋体" w:hAnsi="宋体"/>
          <w:bCs/>
          <w:szCs w:val="20"/>
          <w:u w:val="single"/>
          <w:lang w:val="en-US" w:eastAsia="zh-CN"/>
        </w:rPr>
        <w:t>2</w:t>
      </w:r>
      <w:r>
        <w:rPr>
          <w:rFonts w:hint="eastAsia" w:ascii="宋体" w:hAnsi="宋体"/>
          <w:bCs/>
          <w:szCs w:val="20"/>
        </w:rPr>
        <w:t>年</w:t>
      </w:r>
      <w:r>
        <w:rPr>
          <w:rFonts w:hint="eastAsia" w:ascii="宋体" w:hAnsi="宋体"/>
          <w:bCs/>
          <w:szCs w:val="20"/>
          <w:u w:val="single"/>
          <w:lang w:val="en-US" w:eastAsia="zh-CN"/>
        </w:rPr>
        <w:t>5</w:t>
      </w:r>
      <w:r>
        <w:rPr>
          <w:rFonts w:hint="eastAsia" w:ascii="宋体" w:hAnsi="宋体"/>
          <w:bCs/>
          <w:szCs w:val="20"/>
        </w:rPr>
        <w:t>月</w:t>
      </w:r>
      <w:r>
        <w:rPr>
          <w:rFonts w:hint="eastAsia" w:ascii="宋体" w:hAnsi="宋体"/>
          <w:bCs/>
          <w:szCs w:val="20"/>
          <w:u w:val="single"/>
          <w:lang w:val="en-US" w:eastAsia="zh-CN"/>
        </w:rPr>
        <w:t>20</w:t>
      </w:r>
      <w:r>
        <w:rPr>
          <w:rFonts w:hint="eastAsia" w:ascii="宋体" w:hAnsi="宋体"/>
          <w:bCs/>
          <w:szCs w:val="20"/>
        </w:rPr>
        <w:t>日1</w:t>
      </w:r>
      <w:r>
        <w:rPr>
          <w:rFonts w:hint="eastAsia" w:ascii="宋体" w:hAnsi="宋体"/>
          <w:bCs/>
          <w:szCs w:val="20"/>
          <w:lang w:val="en-US" w:eastAsia="zh-CN"/>
        </w:rPr>
        <w:t>0</w:t>
      </w:r>
      <w:r>
        <w:rPr>
          <w:rFonts w:hint="eastAsia" w:ascii="宋体" w:hAnsi="宋体"/>
          <w:bCs/>
          <w:szCs w:val="20"/>
        </w:rPr>
        <w:t>:</w:t>
      </w:r>
      <w:r>
        <w:rPr>
          <w:rFonts w:hint="eastAsia" w:ascii="宋体" w:hAnsi="宋体"/>
          <w:bCs/>
          <w:szCs w:val="20"/>
          <w:lang w:val="en-US" w:eastAsia="zh-CN"/>
        </w:rPr>
        <w:t>0</w:t>
      </w:r>
      <w:r>
        <w:rPr>
          <w:rFonts w:hint="eastAsia" w:ascii="宋体" w:hAnsi="宋体"/>
          <w:bCs/>
          <w:szCs w:val="20"/>
        </w:rPr>
        <w:t>0。</w:t>
      </w:r>
    </w:p>
    <w:p>
      <w:pPr>
        <w:adjustRightInd w:val="0"/>
        <w:snapToGrid w:val="0"/>
        <w:spacing w:line="460" w:lineRule="exact"/>
        <w:ind w:firstLine="420" w:firstLineChars="200"/>
        <w:rPr>
          <w:rFonts w:ascii="宋体" w:hAnsi="宋体"/>
          <w:bCs/>
          <w:szCs w:val="20"/>
        </w:rPr>
      </w:pPr>
      <w:r>
        <w:rPr>
          <w:rFonts w:hint="eastAsia" w:ascii="宋体" w:hAnsi="宋体"/>
          <w:bCs/>
          <w:szCs w:val="20"/>
        </w:rPr>
        <w:t>七、谈判地点：</w:t>
      </w:r>
      <w:r>
        <w:rPr>
          <w:rFonts w:hint="eastAsia" w:ascii="宋体" w:hAnsi="宋体"/>
          <w:szCs w:val="21"/>
        </w:rPr>
        <w:t>中山市第三人民医院（行政办公楼3楼会议室）</w:t>
      </w:r>
    </w:p>
    <w:p>
      <w:pPr>
        <w:tabs>
          <w:tab w:val="left" w:pos="742"/>
        </w:tabs>
        <w:adjustRightInd w:val="0"/>
        <w:snapToGrid w:val="0"/>
        <w:spacing w:line="460" w:lineRule="exact"/>
        <w:ind w:firstLine="420" w:firstLineChars="200"/>
        <w:rPr>
          <w:rFonts w:ascii="宋体" w:hAnsi="宋体"/>
          <w:bCs/>
          <w:szCs w:val="20"/>
        </w:rPr>
      </w:pPr>
      <w:r>
        <w:rPr>
          <w:rFonts w:hint="eastAsia" w:ascii="宋体" w:hAnsi="宋体"/>
          <w:bCs/>
          <w:szCs w:val="20"/>
        </w:rPr>
        <w:t>八、</w:t>
      </w:r>
      <w:r>
        <w:rPr>
          <w:rFonts w:hint="eastAsia" w:ascii="宋体" w:hAnsi="宋体"/>
          <w:szCs w:val="21"/>
        </w:rPr>
        <w:t>采购人联系方式</w:t>
      </w:r>
    </w:p>
    <w:p>
      <w:pPr>
        <w:adjustRightInd w:val="0"/>
        <w:snapToGrid w:val="0"/>
        <w:spacing w:line="460" w:lineRule="exact"/>
        <w:ind w:firstLine="420" w:firstLineChars="200"/>
        <w:rPr>
          <w:rFonts w:ascii="宋体" w:hAnsi="宋体"/>
          <w:bCs/>
          <w:szCs w:val="20"/>
        </w:rPr>
      </w:pPr>
      <w:r>
        <w:rPr>
          <w:rFonts w:hint="eastAsia" w:ascii="宋体" w:hAnsi="宋体"/>
          <w:bCs/>
          <w:szCs w:val="20"/>
        </w:rPr>
        <w:t>采购机构：中山市第三人民医院</w:t>
      </w:r>
    </w:p>
    <w:p>
      <w:pPr>
        <w:adjustRightInd w:val="0"/>
        <w:snapToGrid w:val="0"/>
        <w:spacing w:line="460" w:lineRule="exact"/>
        <w:ind w:firstLine="420" w:firstLineChars="200"/>
        <w:rPr>
          <w:rFonts w:ascii="宋体" w:hAnsi="宋体"/>
          <w:bCs/>
          <w:szCs w:val="20"/>
        </w:rPr>
      </w:pPr>
      <w:r>
        <w:rPr>
          <w:rFonts w:hint="eastAsia" w:ascii="宋体" w:hAnsi="宋体"/>
          <w:bCs/>
          <w:szCs w:val="20"/>
        </w:rPr>
        <w:t>地    址：中山市南朗镇南岐南路18号</w:t>
      </w:r>
    </w:p>
    <w:p>
      <w:pPr>
        <w:adjustRightInd w:val="0"/>
        <w:snapToGrid w:val="0"/>
        <w:spacing w:line="460" w:lineRule="exact"/>
        <w:ind w:firstLine="420" w:firstLineChars="200"/>
        <w:rPr>
          <w:rFonts w:ascii="宋体" w:hAnsi="宋体"/>
          <w:bCs/>
          <w:szCs w:val="20"/>
        </w:rPr>
      </w:pPr>
      <w:r>
        <w:rPr>
          <w:rFonts w:hint="eastAsia" w:ascii="宋体" w:hAnsi="宋体"/>
          <w:bCs/>
          <w:szCs w:val="20"/>
        </w:rPr>
        <w:t>联 系 人（采购项目联系人）：伍玉强</w:t>
      </w:r>
    </w:p>
    <w:p>
      <w:pPr>
        <w:adjustRightInd w:val="0"/>
        <w:snapToGrid w:val="0"/>
        <w:spacing w:line="460" w:lineRule="exact"/>
        <w:ind w:firstLine="420" w:firstLineChars="200"/>
        <w:rPr>
          <w:rFonts w:ascii="宋体" w:hAnsi="宋体"/>
          <w:bCs/>
          <w:szCs w:val="20"/>
        </w:rPr>
      </w:pPr>
      <w:r>
        <w:rPr>
          <w:rFonts w:hint="eastAsia" w:ascii="宋体" w:hAnsi="宋体"/>
          <w:bCs/>
          <w:szCs w:val="20"/>
        </w:rPr>
        <w:t>联系电话： 0760-85529703</w:t>
      </w:r>
    </w:p>
    <w:p>
      <w:pPr>
        <w:adjustRightInd w:val="0"/>
        <w:snapToGrid w:val="0"/>
        <w:spacing w:line="460" w:lineRule="exact"/>
        <w:ind w:firstLine="420" w:firstLineChars="200"/>
        <w:rPr>
          <w:rFonts w:ascii="宋体" w:hAnsi="宋体"/>
          <w:bCs/>
          <w:szCs w:val="20"/>
        </w:rPr>
      </w:pPr>
      <w:r>
        <w:rPr>
          <w:rFonts w:hint="eastAsia" w:ascii="宋体" w:hAnsi="宋体"/>
          <w:bCs/>
          <w:szCs w:val="20"/>
        </w:rPr>
        <w:t>传    真：</w:t>
      </w:r>
    </w:p>
    <w:p>
      <w:pPr>
        <w:adjustRightInd w:val="0"/>
        <w:snapToGrid w:val="0"/>
        <w:spacing w:line="460" w:lineRule="exact"/>
        <w:ind w:firstLine="420" w:firstLineChars="200"/>
        <w:rPr>
          <w:rFonts w:ascii="宋体" w:hAnsi="宋体"/>
          <w:bCs/>
          <w:szCs w:val="20"/>
        </w:rPr>
      </w:pPr>
      <w:r>
        <w:rPr>
          <w:rFonts w:hint="eastAsia" w:ascii="宋体" w:hAnsi="宋体"/>
          <w:bCs/>
          <w:szCs w:val="20"/>
        </w:rPr>
        <w:t>邮    编：</w:t>
      </w:r>
    </w:p>
    <w:p>
      <w:pPr>
        <w:adjustRightInd w:val="0"/>
        <w:snapToGrid w:val="0"/>
        <w:spacing w:line="460" w:lineRule="exact"/>
        <w:ind w:firstLine="420" w:firstLineChars="200"/>
        <w:rPr>
          <w:rFonts w:ascii="宋体" w:hAnsi="宋体"/>
          <w:bCs/>
          <w:szCs w:val="20"/>
        </w:rPr>
      </w:pPr>
      <w:r>
        <w:rPr>
          <w:rFonts w:hint="eastAsia" w:ascii="宋体" w:hAnsi="宋体"/>
          <w:bCs/>
          <w:szCs w:val="20"/>
        </w:rPr>
        <w:t>附    件：</w:t>
      </w:r>
    </w:p>
    <w:p>
      <w:pPr>
        <w:adjustRightInd w:val="0"/>
        <w:snapToGrid w:val="0"/>
        <w:spacing w:line="460" w:lineRule="exact"/>
        <w:ind w:firstLine="6669" w:firstLineChars="3176"/>
        <w:jc w:val="right"/>
      </w:pPr>
      <w:r>
        <w:rPr>
          <w:rFonts w:hint="eastAsia"/>
        </w:rPr>
        <w:t>中山市第三人民医院</w:t>
      </w:r>
    </w:p>
    <w:p>
      <w:pPr>
        <w:adjustRightInd w:val="0"/>
        <w:snapToGrid w:val="0"/>
        <w:spacing w:line="460" w:lineRule="exact"/>
        <w:ind w:firstLine="6669" w:firstLineChars="3176"/>
        <w:jc w:val="right"/>
        <w:sectPr>
          <w:footerReference r:id="rId5" w:type="first"/>
          <w:headerReference r:id="rId3" w:type="default"/>
          <w:footerReference r:id="rId4" w:type="default"/>
          <w:pgSz w:w="11906" w:h="16838"/>
          <w:pgMar w:top="1091" w:right="1466" w:bottom="1134" w:left="1260" w:header="623" w:footer="767" w:gutter="0"/>
          <w:pgNumType w:start="1"/>
          <w:cols w:space="720" w:num="1"/>
          <w:titlePg/>
          <w:docGrid w:type="lines" w:linePitch="312" w:charSpace="0"/>
        </w:sectPr>
      </w:pPr>
      <w:r>
        <w:rPr>
          <w:rFonts w:ascii="宋体" w:hAnsi="宋体"/>
        </w:rPr>
        <w:t>20</w:t>
      </w:r>
      <w:r>
        <w:rPr>
          <w:rFonts w:hint="eastAsia" w:ascii="宋体" w:hAnsi="宋体"/>
        </w:rPr>
        <w:t>2</w:t>
      </w:r>
      <w:r>
        <w:rPr>
          <w:rFonts w:hint="eastAsia" w:ascii="宋体" w:hAnsi="宋体"/>
          <w:lang w:val="en-US" w:eastAsia="zh-CN"/>
        </w:rPr>
        <w:t>2</w:t>
      </w:r>
      <w:r>
        <w:rPr>
          <w:rFonts w:ascii="宋体" w:hAnsi="宋体"/>
        </w:rPr>
        <w:t>年</w:t>
      </w:r>
      <w:r>
        <w:rPr>
          <w:rFonts w:hint="eastAsia" w:ascii="宋体" w:hAnsi="宋体"/>
          <w:lang w:val="en-US" w:eastAsia="zh-CN"/>
        </w:rPr>
        <w:t>5</w:t>
      </w:r>
      <w:r>
        <w:rPr>
          <w:rFonts w:hint="eastAsia" w:ascii="宋体" w:hAnsi="宋体"/>
        </w:rPr>
        <w:t>月</w:t>
      </w:r>
      <w:r>
        <w:rPr>
          <w:rFonts w:hint="eastAsia" w:ascii="宋体" w:hAnsi="宋体"/>
          <w:lang w:val="en-US" w:eastAsia="zh-CN"/>
        </w:rPr>
        <w:t>16</w:t>
      </w:r>
      <w:r>
        <w:rPr>
          <w:rFonts w:hint="eastAsia" w:ascii="宋体" w:hAnsi="宋体"/>
        </w:rPr>
        <w:t>日</w:t>
      </w:r>
    </w:p>
    <w:p>
      <w:pPr>
        <w:spacing w:beforeLines="50" w:afterLines="50" w:line="360" w:lineRule="auto"/>
        <w:jc w:val="center"/>
        <w:outlineLvl w:val="0"/>
        <w:rPr>
          <w:b/>
          <w:bCs/>
          <w:sz w:val="28"/>
          <w:szCs w:val="28"/>
        </w:rPr>
      </w:pPr>
      <w:bookmarkStart w:id="1" w:name="_Toc435115052"/>
      <w:bookmarkEnd w:id="1"/>
      <w:bookmarkStart w:id="2" w:name="_Toc435514843"/>
      <w:bookmarkEnd w:id="2"/>
      <w:bookmarkStart w:id="3" w:name="_Toc447699758"/>
      <w:r>
        <w:rPr>
          <w:b/>
          <w:bCs/>
          <w:sz w:val="28"/>
          <w:szCs w:val="28"/>
        </w:rPr>
        <w:t>第</w:t>
      </w:r>
      <w:r>
        <w:rPr>
          <w:rFonts w:hint="eastAsia"/>
          <w:b/>
          <w:bCs/>
          <w:sz w:val="28"/>
          <w:szCs w:val="28"/>
        </w:rPr>
        <w:t>二</w:t>
      </w:r>
      <w:r>
        <w:rPr>
          <w:b/>
          <w:bCs/>
          <w:sz w:val="28"/>
          <w:szCs w:val="28"/>
        </w:rPr>
        <w:t>章</w:t>
      </w:r>
      <w:r>
        <w:rPr>
          <w:rFonts w:hint="eastAsia"/>
          <w:b/>
          <w:bCs/>
          <w:sz w:val="28"/>
          <w:szCs w:val="28"/>
        </w:rPr>
        <w:t>用户需求书</w:t>
      </w:r>
      <w:bookmarkEnd w:id="3"/>
    </w:p>
    <w:p>
      <w:pPr>
        <w:snapToGrid w:val="0"/>
        <w:spacing w:line="360" w:lineRule="auto"/>
        <w:ind w:firstLine="422" w:firstLineChars="200"/>
        <w:rPr>
          <w:rFonts w:ascii="宋体"/>
          <w:b/>
          <w:bCs/>
          <w:szCs w:val="20"/>
        </w:rPr>
      </w:pPr>
      <w:r>
        <w:rPr>
          <w:rFonts w:hint="eastAsia" w:ascii="宋体"/>
          <w:b/>
          <w:bCs/>
          <w:szCs w:val="20"/>
        </w:rPr>
        <w:t>一、采购内容简述</w:t>
      </w:r>
    </w:p>
    <w:p>
      <w:pPr>
        <w:adjustRightInd w:val="0"/>
        <w:snapToGrid w:val="0"/>
        <w:spacing w:line="360" w:lineRule="auto"/>
        <w:ind w:firstLine="420" w:firstLineChars="200"/>
        <w:rPr>
          <w:rFonts w:ascii="宋体"/>
          <w:bCs/>
          <w:szCs w:val="20"/>
        </w:rPr>
      </w:pPr>
      <w:r>
        <w:rPr>
          <w:rFonts w:hint="eastAsia" w:ascii="宋体"/>
          <w:bCs/>
          <w:szCs w:val="20"/>
        </w:rPr>
        <w:t>1.采购内容：中山市第三人民医院</w:t>
      </w:r>
      <w:r>
        <w:rPr>
          <w:rFonts w:hint="eastAsia" w:ascii="宋体"/>
          <w:bCs/>
          <w:szCs w:val="20"/>
          <w:lang w:val="en-US" w:eastAsia="zh-CN"/>
        </w:rPr>
        <w:t>负压</w:t>
      </w:r>
      <w:r>
        <w:rPr>
          <w:rFonts w:hint="eastAsia" w:ascii="宋体"/>
          <w:bCs/>
          <w:szCs w:val="20"/>
        </w:rPr>
        <w:t>救护车</w:t>
      </w:r>
      <w:r>
        <w:rPr>
          <w:rFonts w:hint="eastAsia" w:ascii="宋体"/>
          <w:bCs/>
          <w:szCs w:val="20"/>
          <w:lang w:val="en-US" w:eastAsia="zh-CN"/>
        </w:rPr>
        <w:t>购置</w:t>
      </w:r>
      <w:r>
        <w:rPr>
          <w:rFonts w:hint="eastAsia" w:ascii="宋体"/>
          <w:bCs/>
          <w:szCs w:val="20"/>
        </w:rPr>
        <w:t>项目</w:t>
      </w:r>
    </w:p>
    <w:p>
      <w:pPr>
        <w:adjustRightInd w:val="0"/>
        <w:snapToGrid w:val="0"/>
        <w:spacing w:line="360" w:lineRule="auto"/>
        <w:ind w:firstLine="420" w:firstLineChars="200"/>
        <w:rPr>
          <w:rFonts w:hint="default" w:ascii="宋体" w:eastAsia="宋体"/>
          <w:bCs/>
          <w:szCs w:val="20"/>
          <w:lang w:val="en-US" w:eastAsia="zh-CN"/>
        </w:rPr>
      </w:pPr>
      <w:r>
        <w:rPr>
          <w:rFonts w:hint="eastAsia" w:ascii="宋体"/>
          <w:bCs/>
          <w:szCs w:val="20"/>
        </w:rPr>
        <w:t>2.数量：</w:t>
      </w:r>
      <w:r>
        <w:rPr>
          <w:rFonts w:hint="eastAsia" w:ascii="宋体"/>
          <w:bCs/>
          <w:szCs w:val="20"/>
          <w:lang w:val="en-US" w:eastAsia="zh-CN"/>
        </w:rPr>
        <w:t>负压</w:t>
      </w:r>
      <w:r>
        <w:rPr>
          <w:rFonts w:hint="eastAsia" w:ascii="宋体"/>
          <w:bCs/>
          <w:szCs w:val="20"/>
        </w:rPr>
        <w:t>救护车（1辆</w:t>
      </w:r>
      <w:r>
        <w:rPr>
          <w:rFonts w:hint="eastAsia" w:ascii="宋体"/>
          <w:bCs/>
          <w:szCs w:val="20"/>
          <w:lang w:eastAsia="zh-CN"/>
        </w:rPr>
        <w:t>，</w:t>
      </w:r>
      <w:r>
        <w:rPr>
          <w:rFonts w:hint="eastAsia" w:ascii="宋体"/>
          <w:bCs/>
          <w:szCs w:val="20"/>
          <w:lang w:val="en-US" w:eastAsia="zh-CN"/>
        </w:rPr>
        <w:t>含车载急救设备</w:t>
      </w:r>
      <w:r>
        <w:rPr>
          <w:rFonts w:hint="eastAsia" w:ascii="宋体"/>
          <w:bCs/>
          <w:szCs w:val="20"/>
        </w:rPr>
        <w:t>）</w:t>
      </w:r>
    </w:p>
    <w:p>
      <w:pPr>
        <w:snapToGrid w:val="0"/>
        <w:spacing w:line="360" w:lineRule="auto"/>
        <w:ind w:firstLine="420" w:firstLineChars="200"/>
        <w:rPr>
          <w:rFonts w:ascii="宋体"/>
          <w:bCs/>
          <w:szCs w:val="20"/>
        </w:rPr>
      </w:pPr>
      <w:r>
        <w:rPr>
          <w:rFonts w:hint="eastAsia" w:ascii="宋体"/>
          <w:bCs/>
          <w:szCs w:val="20"/>
        </w:rPr>
        <w:t>3.合同期限：</w:t>
      </w:r>
    </w:p>
    <w:p>
      <w:pPr>
        <w:snapToGrid w:val="0"/>
        <w:spacing w:line="360" w:lineRule="auto"/>
        <w:ind w:firstLine="420" w:firstLineChars="200"/>
        <w:rPr>
          <w:rFonts w:ascii="宋体"/>
          <w:bCs/>
          <w:szCs w:val="20"/>
        </w:rPr>
      </w:pPr>
      <w:r>
        <w:rPr>
          <w:rFonts w:hint="eastAsia" w:ascii="宋体"/>
          <w:bCs/>
          <w:szCs w:val="20"/>
        </w:rPr>
        <w:t>4.预算金额：人民币5</w:t>
      </w:r>
      <w:r>
        <w:rPr>
          <w:rFonts w:hint="eastAsia" w:ascii="宋体"/>
          <w:bCs/>
          <w:szCs w:val="20"/>
          <w:lang w:val="en-US" w:eastAsia="zh-CN"/>
        </w:rPr>
        <w:t>0</w:t>
      </w:r>
      <w:r>
        <w:rPr>
          <w:rFonts w:hint="eastAsia" w:ascii="宋体"/>
          <w:bCs/>
          <w:szCs w:val="20"/>
        </w:rPr>
        <w:t>万（供应商投标报价超过预算金额将按无效投标处理）。</w:t>
      </w:r>
    </w:p>
    <w:p>
      <w:pPr>
        <w:snapToGrid w:val="0"/>
        <w:spacing w:line="360" w:lineRule="auto"/>
        <w:ind w:firstLine="422" w:firstLineChars="200"/>
        <w:rPr>
          <w:rFonts w:ascii="宋体"/>
          <w:b/>
          <w:bCs/>
          <w:szCs w:val="20"/>
        </w:rPr>
      </w:pPr>
      <w:r>
        <w:rPr>
          <w:rFonts w:hint="eastAsia" w:ascii="宋体"/>
          <w:b/>
          <w:bCs/>
          <w:szCs w:val="20"/>
        </w:rPr>
        <w:t>二、项目概况</w:t>
      </w:r>
    </w:p>
    <w:p>
      <w:pPr>
        <w:spacing w:line="360" w:lineRule="auto"/>
        <w:ind w:firstLine="422" w:firstLineChars="200"/>
        <w:outlineLvl w:val="1"/>
        <w:rPr>
          <w:rFonts w:ascii="宋体" w:hAnsi="宋体" w:cs="宋体"/>
          <w:b/>
          <w:szCs w:val="21"/>
        </w:rPr>
      </w:pPr>
      <w:r>
        <w:rPr>
          <w:rFonts w:hint="eastAsia" w:ascii="宋体" w:hAnsi="宋体" w:cs="宋体"/>
          <w:b/>
          <w:szCs w:val="21"/>
        </w:rPr>
        <w:t>（一）技术参数要求</w:t>
      </w:r>
    </w:p>
    <w:p>
      <w:pPr>
        <w:tabs>
          <w:tab w:val="left" w:pos="360"/>
          <w:tab w:val="left" w:pos="425"/>
        </w:tabs>
        <w:autoSpaceDE w:val="0"/>
        <w:autoSpaceDN w:val="0"/>
        <w:spacing w:line="360" w:lineRule="auto"/>
        <w:ind w:firstLine="422" w:firstLineChars="200"/>
        <w:outlineLvl w:val="2"/>
        <w:rPr>
          <w:rFonts w:ascii="宋体" w:hAnsi="宋体" w:cs="宋体"/>
          <w:b/>
          <w:bCs/>
          <w:kern w:val="28"/>
          <w:szCs w:val="21"/>
        </w:rPr>
      </w:pPr>
      <w:r>
        <w:rPr>
          <w:rFonts w:hint="eastAsia" w:ascii="宋体" w:hAnsi="宋体" w:cs="宋体"/>
          <w:b/>
          <w:bCs/>
          <w:szCs w:val="21"/>
        </w:rPr>
        <w:t>1、设备名称：负压救护车</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设备数量：1辆</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技术要求：</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1.基础参数</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1.1发动机：品牌发动机</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1.2工作方式：直列四缸、水冷、增压中冷、直喷式、压燃式</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1.3排气量（ml）：≥2198</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1.4排放标准：不低于GB17691-2018国VI</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1.5整备质量（kg）：≤3000</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1.6总质量（kg）：≤3800</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1.7最大功率（Kw/rpm）：≥103/3750</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1.8最大扭矩（Nm/rpm）：≥355/1500-2100</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1.9制动系统：液压双回路盘式制动</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1.10悬挂系统：前：麦弗逊独立悬挂 后：钢板弹簧非独立悬挂</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1.11变速器：不少于6速手动挡或自动档</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1.12最高车速（km/h）：≥145</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1.13燃油种类：柴油或汽油</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1.14油箱容积（L）：≥80</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1.15轴距（mm）：≥3750</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1.16外形尺寸(长×宽×高)(mm)：≥5650×1900×2600</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1.17医疗舱尺寸(长×宽×高)(mm)：≥3200×1720×1840</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1.18座位数：6-9位</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2.车辆标准配置</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2.1防抱死制动系统 (ABS)</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2.2制动力分配系统(EBD)</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2.3车辆维护警告系统</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2.4中控门锁</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2.5驾驶室3座椅</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2.6驾驶员安全气囊</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2.7驾驶室电动车窗</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2.8后双开门</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2.9中门及后门上车踏板</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2.10原厂倒车雷达系统</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2.11驾驶室配12V插座不少一个</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2.12驾驶室安装多媒体倒车可视一体机</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2.13车辆医疗舱右侧带推拉窗滑动门</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2.14车辆医疗舱左右两侧玻璃全贴黑色防爆膜，后门玻璃全贴黑色防爆膜</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3.车辆外部警灯及照明系统</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3.1 100W警报器一套</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3.2车顶安装一体成型隐藏式警灯</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3.3车顶尾部安装一体成型隐藏式警灯</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3.4车头中网安装不少于2个LED小爆闪灯</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3.5车顶尾部安装不少于1个后外场用照明灯</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3.6车身两侧安装不少于1个外场照明灯</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4.空调系统</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4.1驾驶室原厂空调系统</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4.2医疗舱冷暖空调系统</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5.医疗舱内部布局</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5.1驾驶室与医疗舱配置吸塑一体成型中隔墙, 分开前后车厢，中部设有一个调光（透明度）玻璃窗。</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w:t>
      </w:r>
      <w:r>
        <w:rPr>
          <w:rFonts w:hint="eastAsia" w:ascii="宋体" w:hAnsi="宋体" w:cs="宋体"/>
          <w:szCs w:val="21"/>
          <w:lang w:val="en-US" w:eastAsia="zh-CN"/>
        </w:rPr>
        <w:t>▲</w:t>
      </w:r>
      <w:r>
        <w:rPr>
          <w:rFonts w:hint="eastAsia" w:ascii="宋体" w:hAnsi="宋体" w:cs="宋体"/>
          <w:szCs w:val="21"/>
        </w:rPr>
        <w:t>医疗舱中隔墙安装≥8寸触摸屏医疗控制单元（通过屏幕可以控制内外的照明灯、氛围灯、空调、暖风、换气、消毒灯、交流电源、前后对讲、中隔窗调光显示、移动网络；可以实时查看氧气余量、主副电瓶电量；锁屏的状态为暗光显示，触摸时为亮光显示。</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5.3</w:t>
      </w:r>
      <w:r>
        <w:rPr>
          <w:rFonts w:hint="eastAsia" w:ascii="宋体" w:hAnsi="宋体" w:cs="宋体"/>
          <w:szCs w:val="21"/>
          <w:lang w:val="en-US" w:eastAsia="zh-CN"/>
        </w:rPr>
        <w:t>▲</w:t>
      </w:r>
      <w:r>
        <w:rPr>
          <w:rFonts w:hint="eastAsia" w:ascii="宋体" w:hAnsi="宋体" w:cs="宋体"/>
          <w:szCs w:val="21"/>
        </w:rPr>
        <w:t>车辆同时搭配两个≥4寸的扩展屏，一个配置在驾驶仓中间上方，一个配置后门打开的左侧板位置（扩展屏的功能是控制医疗仓的照明灯、氛围灯、前后对讲、中隔窗调光显示以及车辆中门、后门工作照明）</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5.4医疗舱中隔墙配置一体式成形的器械柜，柜子顶面设有医护操作沉台，左边设有膝顶开门式的污物桶、锐器桶；3层储物抽屉竖排在右边；底部是急箱放置区，可朝前及朝右两个方向提取；柜子的右侧设有雨伞挂钩。</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5.5医疗舱中隔墙上方设有储物箱小柜，配蓝色半透明可视柜门，柜门铰链带液压缓冲，安全开合。</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5.6医疗舱中隔墙顶部设有长条空调出风口，顶部整排出风。</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5.7医疗舱中间隔墙配置朝后医生座椅，可以折叠座板及扶手</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5.8医疗舱中隔墙右侧上方配置扬声器及麦克风（通过驾驶室和医疗舱的触摸屏控制）。</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5.9医疗舱中门配置上车安全扶手。</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5.10医疗舱右侧座位的上方设有贯穿整个右侧的长条防撞软包。</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5.11医疗舱右侧配置吸塑一体成型座位台（内部设有铲式担架固定仓），上方设有2位成型防滑座位和靠背板配2点式安全带、1个可旋转座椅，可以折叠座板及扶手。</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5.12医疗舱左侧顶上方设有储物箱小柜，配蓝色半透明可视柜门，柜门铰链带液压缓冲，安全开合。</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5.13医疗舱左侧安装一体成型设备固定柜，柜面能固定多个急救设备。</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5.14医疗舱左侧设备柜前方安装标准负压装置系统。</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5.15医疗舱左侧设备柜下方配置暖风出风口。</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5.16医疗舱配置空调维修门，便于维护及检修医疗舱空调。</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5.17医疗舱尾部配置1个1kg灭火器。</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5.18医疗舱顶部中间配置1个贯通整个医疗舱的安全扶手。</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5.19医疗舱顶部设有≥3瓶式输液挂钩，保护盖打开后可提供固定支撑。</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5.20医疗舱顶部配置双向换气风扇，可抽风及排气。</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5.21医疗舱顶部及左右两侧都配置隔音及隔热层。</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5.22</w:t>
      </w:r>
      <w:r>
        <w:rPr>
          <w:rFonts w:hint="eastAsia" w:ascii="宋体" w:hAnsi="宋体" w:cs="宋体"/>
          <w:szCs w:val="21"/>
          <w:lang w:val="en-US" w:eastAsia="zh-CN"/>
        </w:rPr>
        <w:t>▲</w:t>
      </w:r>
      <w:r>
        <w:rPr>
          <w:rFonts w:hint="eastAsia" w:ascii="宋体" w:hAnsi="宋体" w:cs="宋体"/>
          <w:szCs w:val="21"/>
        </w:rPr>
        <w:t>医疗舱地板采用耐酸、碱及防火、防滑、防静电灰色地板革（提供耐温度性、耐水性、耐磨损性、燃烧试验检测报告复印件作为证明材料）</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5.23医疗舱配置中门和后门全套防撞软包</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5.24配备上车担架及平台</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5.24.1承重：</w:t>
      </w:r>
      <w:bookmarkStart w:id="4" w:name="_Hlk84864035"/>
      <w:r>
        <w:rPr>
          <w:rFonts w:hint="eastAsia" w:ascii="宋体" w:hAnsi="宋体" w:cs="宋体"/>
          <w:szCs w:val="21"/>
        </w:rPr>
        <w:t>≥</w:t>
      </w:r>
      <w:bookmarkEnd w:id="4"/>
      <w:r>
        <w:rPr>
          <w:rFonts w:hint="eastAsia" w:ascii="宋体" w:hAnsi="宋体" w:cs="宋体"/>
          <w:szCs w:val="21"/>
        </w:rPr>
        <w:t>225Kg</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5.24.2主要用于转运病人上下救护车，可单人操作</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5.24.3主要材料采用高强度铝合金材料进行硬化和表面处理，担架床体主为大框架结构。</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5.24.</w:t>
      </w:r>
      <w:r>
        <w:rPr>
          <w:rFonts w:hint="eastAsia" w:ascii="宋体" w:hAnsi="宋体" w:cs="宋体"/>
          <w:szCs w:val="21"/>
          <w:lang w:val="en-US" w:eastAsia="zh-CN"/>
        </w:rPr>
        <w:t>4</w:t>
      </w:r>
      <w:r>
        <w:rPr>
          <w:rFonts w:hint="eastAsia" w:ascii="宋体" w:hAnsi="宋体" w:cs="宋体"/>
          <w:szCs w:val="21"/>
        </w:rPr>
        <w:t>头部靠背可调，调节角度≥0-70°</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5.24.</w:t>
      </w:r>
      <w:r>
        <w:rPr>
          <w:rFonts w:hint="eastAsia" w:ascii="宋体" w:hAnsi="宋体" w:cs="宋体"/>
          <w:szCs w:val="21"/>
          <w:lang w:val="en-US" w:eastAsia="zh-CN"/>
        </w:rPr>
        <w:t>5</w:t>
      </w:r>
      <w:r>
        <w:rPr>
          <w:rFonts w:hint="eastAsia" w:ascii="宋体" w:hAnsi="宋体" w:cs="宋体"/>
          <w:szCs w:val="21"/>
        </w:rPr>
        <w:t>双边倒复式护栏，采用一键式折叠收放机构</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5.24.</w:t>
      </w:r>
      <w:r>
        <w:rPr>
          <w:rFonts w:hint="eastAsia" w:ascii="宋体" w:hAnsi="宋体" w:cs="宋体"/>
          <w:szCs w:val="21"/>
          <w:lang w:val="en-US" w:eastAsia="zh-CN"/>
        </w:rPr>
        <w:t>6</w:t>
      </w:r>
      <w:r>
        <w:rPr>
          <w:rFonts w:hint="eastAsia" w:ascii="宋体" w:hAnsi="宋体" w:cs="宋体"/>
          <w:szCs w:val="21"/>
        </w:rPr>
        <w:t>担架折腿机构带安全自锁功能，可以有效防止误操作，确保转运安全</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5.24.</w:t>
      </w:r>
      <w:r>
        <w:rPr>
          <w:rFonts w:hint="eastAsia" w:ascii="宋体" w:hAnsi="宋体" w:cs="宋体"/>
          <w:szCs w:val="21"/>
          <w:lang w:val="en-US" w:eastAsia="zh-CN"/>
        </w:rPr>
        <w:t>7</w:t>
      </w:r>
      <w:r>
        <w:rPr>
          <w:rFonts w:hint="eastAsia" w:ascii="宋体" w:hAnsi="宋体" w:cs="宋体"/>
          <w:szCs w:val="21"/>
        </w:rPr>
        <w:t>产品具备CE认证及符合欧盟救护车EN1865标准</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5.25配备楼梯椅</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5.25.1承重：≥150Kg</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5.25.2主要用于高层建筑下楼转运患者</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5.25.3材料采用高强度铝合金材料进行硬化和表面处理</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5.25.4采用折叠式结构，方便救护车内悬挂</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5.25.5设有4个轮子，担架下端有2支可伸缩扶手</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5.25.6座椅面采用PVC面料，可拆卸，方便清洗消毒</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 xml:space="preserve">5.25.7设有两根可调节保险带 </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5.26 配备铲式担架</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5.27医疗舱内饰为ABS材料（提供挥发性有机物、甲醛、燃烧试验、ROHS第三方检测报告复印件作为证明）</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6.氧气系统</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6.1医疗舱左侧尾端下方设有一体成型氧气柜，配置2个10L氧气瓶（带减压阀）</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6.2医疗舱左侧区设有氧气终端，可供呼吸机和湿化器使用</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7.电源电气系统</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7.1驾驶室中隔墙处安装电气控制系统</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7.2车载（12V/220V）逆变充电一体机1000W</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7.3医疗舱顶部操作区位置配置LED照明灯</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7.4</w:t>
      </w:r>
      <w:bookmarkStart w:id="5" w:name="OLE_LINK12"/>
      <w:bookmarkStart w:id="6" w:name="OLE_LINK11"/>
      <w:r>
        <w:rPr>
          <w:rFonts w:hint="eastAsia" w:ascii="宋体" w:hAnsi="宋体" w:cs="宋体"/>
          <w:szCs w:val="21"/>
        </w:rPr>
        <w:t>医疗舱</w:t>
      </w:r>
      <w:bookmarkEnd w:id="5"/>
      <w:bookmarkEnd w:id="6"/>
      <w:r>
        <w:rPr>
          <w:rFonts w:hint="eastAsia" w:ascii="宋体" w:hAnsi="宋体" w:cs="宋体"/>
          <w:szCs w:val="21"/>
        </w:rPr>
        <w:t>顶部配置12V输液射灯</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7.5医疗舱顶部配置12V紫外线消毒灯（工作时下拉竖起保证最大范围消毒，完成后可折叠后收纳并扣上盖子防护）</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7.6 配备10m长移动电缆：1根</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7.7 医疗舱内安装不少于4个220v插座</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7.8 医疗舱内安装不少于1个12V插座</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7.9 安装1个220V/16A防水、带防护盖的外接电源插座</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7.10</w:t>
      </w:r>
      <w:r>
        <w:rPr>
          <w:rFonts w:hint="eastAsia" w:ascii="宋体" w:hAnsi="宋体" w:cs="宋体"/>
          <w:szCs w:val="21"/>
          <w:lang w:val="en-US" w:eastAsia="zh-CN"/>
        </w:rPr>
        <w:t>▲</w:t>
      </w:r>
      <w:r>
        <w:rPr>
          <w:rFonts w:hint="eastAsia" w:ascii="宋体" w:hAnsi="宋体" w:cs="宋体"/>
          <w:szCs w:val="21"/>
        </w:rPr>
        <w:t>车辆改装电路要求</w:t>
      </w:r>
      <w:bookmarkStart w:id="7" w:name="OLE_LINK8"/>
      <w:bookmarkStart w:id="8" w:name="OLE_LINK7"/>
      <w:r>
        <w:rPr>
          <w:rFonts w:hint="eastAsia" w:ascii="宋体" w:hAnsi="宋体" w:cs="宋体"/>
          <w:szCs w:val="21"/>
        </w:rPr>
        <w:t>（提供改装线束耐高温、橡胶件防水性能检测报告复印件作为证明）</w:t>
      </w:r>
      <w:bookmarkEnd w:id="7"/>
      <w:bookmarkEnd w:id="8"/>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7.10.1 基于PLC控制的医疗车控制系统</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7.10.2 医疗舱电路部分需使用汽车专用线束及接头</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 xml:space="preserve">7.10.3 电线缆采用绝缘层+屏蔽层+导线的屏蔽线，通信类线缆采用绝缘层+屏蔽层+信号导线+屏蔽层接地导线的屏蔽线。完全屏蔽车内高低压线束的电磁干扰 </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7.11 智能充电控制装置</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7.11.1 确保主电瓶的正常充电；</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7.11.2 自动断开避免发电机过载，延长发电机寿命；</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 xml:space="preserve">7.11.3 辅助电瓶独立工作，避免偷耗主电瓶电能 </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7.12 加装蓄电池，附加蓄电池与原车电池的电路连接要求实现：</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7.12.1 在附加电池装置中做到车辆停驶时副蓄电池和原车电池自动断开。车辆启动时自动连接，以保证救护车的正常启动和附加电设备的用电需求</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7.12.2 当发电机发电量不足时，断开连接，优先为车辆供电</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7.13驾驶安装紧急启动按钮（当车辆主电瓶没电时通过后副电瓶电量紧急启动车辆）</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7.14 医疗舱布局设计方案应可根据用户方实际使用需求调整，充分考虑设备安装布局合理性，使用便捷性，最终施工方案以用户方审核签字确认的图纸为准</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8.标准负压系统要求</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8.1本装置实现传染病负压隔离要求</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8.2医疗舱开启负压系统后比外部大气压低，形成-10Pa～-30Pa负压值，患者呼出的空气不会随意泄露，利用负压装置消毒过滤后定向安全的排出车外，防止细菌污染外部空气。</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8.3系统内置HEPA高效H13过滤器,空气悬浮粒子过滤率≥99.97%</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8.4换气次数20-60次/小时</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8.5 12V/18W内置紫外线灯</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8.6</w:t>
      </w:r>
      <w:r>
        <w:rPr>
          <w:rFonts w:hint="eastAsia" w:ascii="宋体" w:hAnsi="宋体" w:cs="宋体"/>
          <w:szCs w:val="21"/>
          <w:lang w:val="en-US" w:eastAsia="zh-CN"/>
        </w:rPr>
        <w:t>▲</w:t>
      </w:r>
      <w:r>
        <w:rPr>
          <w:rFonts w:hint="eastAsia" w:ascii="宋体" w:hAnsi="宋体" w:cs="宋体"/>
          <w:szCs w:val="21"/>
        </w:rPr>
        <w:t>所投车辆满足WS/T292-2008《救护车》负压要求，提供第三方检测机构出具的检测报告（检测报告中检测样品须提供与投标车辆型号一致）。</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9.外饰</w:t>
      </w:r>
    </w:p>
    <w:p>
      <w:pPr>
        <w:tabs>
          <w:tab w:val="left" w:pos="360"/>
          <w:tab w:val="left" w:pos="425"/>
        </w:tabs>
        <w:autoSpaceDE w:val="0"/>
        <w:autoSpaceDN w:val="0"/>
        <w:spacing w:line="360" w:lineRule="auto"/>
        <w:ind w:firstLine="420" w:firstLineChars="200"/>
        <w:rPr>
          <w:rFonts w:ascii="宋体" w:hAnsi="宋体" w:cs="宋体"/>
          <w:b/>
          <w:kern w:val="28"/>
          <w:szCs w:val="21"/>
        </w:rPr>
      </w:pPr>
      <w:r>
        <w:rPr>
          <w:rFonts w:hint="eastAsia" w:ascii="宋体" w:hAnsi="宋体" w:cs="宋体"/>
          <w:szCs w:val="21"/>
        </w:rPr>
        <w:t>9.1《按中山市救护车外饰标准》喷涂或贴标识。</w:t>
      </w:r>
    </w:p>
    <w:p>
      <w:pPr>
        <w:spacing w:line="360" w:lineRule="auto"/>
        <w:ind w:firstLine="420" w:firstLineChars="200"/>
        <w:rPr>
          <w:rFonts w:ascii="宋体" w:hAnsi="宋体" w:cs="宋体"/>
          <w:szCs w:val="21"/>
        </w:rPr>
      </w:pPr>
      <w:r>
        <w:rPr>
          <w:rFonts w:hint="eastAsia" w:ascii="宋体" w:hAnsi="宋体" w:cs="宋体"/>
          <w:szCs w:val="21"/>
        </w:rPr>
        <w:t>10. 成交供应商须负责办理车辆上牌等工作，报价须包含所有办理上牌费用。</w:t>
      </w:r>
    </w:p>
    <w:p>
      <w:pPr>
        <w:spacing w:line="360" w:lineRule="auto"/>
        <w:ind w:left="420" w:leftChars="200"/>
        <w:outlineLvl w:val="2"/>
        <w:rPr>
          <w:rFonts w:ascii="宋体" w:hAnsi="宋体" w:cs="宋体"/>
          <w:b/>
          <w:szCs w:val="21"/>
        </w:rPr>
      </w:pPr>
      <w:r>
        <w:rPr>
          <w:rFonts w:hint="eastAsia" w:ascii="宋体" w:hAnsi="宋体" w:cs="宋体"/>
          <w:b/>
          <w:szCs w:val="21"/>
        </w:rPr>
        <w:t>2、设备名称：体外除颤监护仪</w:t>
      </w:r>
    </w:p>
    <w:p>
      <w:pPr>
        <w:spacing w:line="360" w:lineRule="auto"/>
        <w:ind w:firstLine="420" w:firstLineChars="200"/>
        <w:rPr>
          <w:rFonts w:ascii="宋体" w:hAnsi="宋体" w:cs="宋体"/>
          <w:bCs/>
          <w:szCs w:val="21"/>
        </w:rPr>
      </w:pPr>
      <w:r>
        <w:rPr>
          <w:rFonts w:hint="eastAsia" w:ascii="宋体" w:hAnsi="宋体" w:cs="宋体"/>
          <w:bCs/>
          <w:szCs w:val="21"/>
        </w:rPr>
        <w:t>设备数量：1台</w:t>
      </w:r>
    </w:p>
    <w:p>
      <w:pPr>
        <w:spacing w:line="360" w:lineRule="auto"/>
        <w:ind w:firstLine="420" w:firstLineChars="200"/>
        <w:rPr>
          <w:rFonts w:ascii="宋体" w:hAnsi="宋体" w:cs="宋体"/>
          <w:bCs/>
          <w:szCs w:val="21"/>
        </w:rPr>
      </w:pPr>
      <w:r>
        <w:rPr>
          <w:rFonts w:hint="eastAsia" w:ascii="宋体" w:hAnsi="宋体" w:cs="宋体"/>
          <w:bCs/>
          <w:szCs w:val="21"/>
        </w:rPr>
        <w:t>技术要求：</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▲体外除颤监护仪配置≥8.4英寸彩色TFT显示屏，分辨率为800X600，界面最多可显示4道监护参数波形。</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rPr>
        <w:t>2.显示模式具有高对比度显示界面，可通过 VGA 外接显示器。</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rPr>
        <w:t>3. 采用双相指数截断(BTE)波形，波形参数可根据病人阻抗进行自动补偿。</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rPr>
        <w:t>4. 支持电极类型:体外除颤电极板、多功能电极片和体内除颤电极板，其中体外电极板为成人/小儿多功能一体型。</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rPr>
        <w:t>5. 体外除颤监护仪提供的体外电极板具有支持充电，放电，能量选择等操作功能并具备充电完成指示灯。</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rPr>
        <w:t>6.▲体外手动除颤和同步复律中，能量选择范围为≥25 种，最小为 1J，最大为 360J。</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rPr>
        <w:t>7.▲病人阻抗范围:体外除颤:20-250 欧;体内除颤:15-250欧。</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rPr>
        <w:t>8. 体外除颤监护仪支持 AED 除颤功能，电击能量 100J~360J 可配置，配置符合 AHA2010 急救指南，可电击心率 VF,VT</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rPr>
        <w:t>9.体外除颤监护仪支持 CPR 心肺复苏抢救提示，可指导操作人员进行 CPR 操作，过程符合 AHA2010 急救指南中 CPR 指南要求。</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rPr>
        <w:t>10</w:t>
      </w:r>
      <w:r>
        <w:rPr>
          <w:rFonts w:hint="eastAsia" w:ascii="宋体" w:hAnsi="宋体" w:cs="宋体"/>
          <w:bCs/>
          <w:szCs w:val="21"/>
          <w:lang w:eastAsia="zh-CN"/>
        </w:rPr>
        <w:t>.</w:t>
      </w:r>
      <w:r>
        <w:rPr>
          <w:rFonts w:hint="eastAsia" w:ascii="宋体" w:hAnsi="宋体" w:cs="宋体"/>
          <w:bCs/>
          <w:szCs w:val="21"/>
        </w:rPr>
        <w:t>体外除颤监护仪支持体内除颤功能，选配体内除颤电击板，体内手动除颤时，除额能量选择范围为 14 种，最小为 1J，最大为 50J。</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rPr>
        <w:t>11.电池供电情况下除颤监护仪充电至200J小于5s，充电置360J 小于 8s。</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rPr>
        <w:t>12.体外除颤监护仪在关机状态并接通交流电情况下，会按照设定的时间自动检测，包括进行常规检验和大能量检测。</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rPr>
        <w:t>13.起搏模式具有固定起搏和按需起搏。</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rPr>
        <w:t>14.起搏波形:单向方波脉冲，脉冲宽度为 20ms±1.5ms。15.可选配升级实现 12导ECG、SPO2、2 通道体温、NIBP、旁流呼气末 CO2。</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rPr>
        <w:t>16. 体外除颤监护仪提供技术报警和生理报警两种报警功能，具有声音报警、灯光报警、文字描述三种报警方式。</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rPr>
        <w:t>17.▲体外除颤监护仪最大可配置2块锂离子电池，其中1块至少可支持 360J 除颤 210 次，单 ECG 检测≥6 小时。</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rPr>
        <w:t>18.电池体上带有多段发光二极管(LED)电池电量指示装置，可用于快速评估电池电量。</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rPr>
        <w:t>19.体外除颤监护仪配置80mm记录仪，可设置自动打印充电事件、放电事件、自动检测报告、标记事件和 12 导报告。</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rPr>
        <w:t>20.实时记录时间有3秒、5秒、8秒、16秒、32秒、连续可供选择。</w:t>
      </w:r>
    </w:p>
    <w:p>
      <w:pPr>
        <w:widowControl/>
        <w:spacing w:line="360" w:lineRule="auto"/>
        <w:ind w:firstLine="420" w:firstLineChars="200"/>
        <w:jc w:val="left"/>
        <w:rPr>
          <w:rFonts w:hint="eastAsia" w:ascii="宋体" w:hAnsi="宋体" w:cs="宋体"/>
          <w:bCs/>
          <w:szCs w:val="21"/>
        </w:rPr>
      </w:pPr>
      <w:r>
        <w:rPr>
          <w:rFonts w:hint="eastAsia" w:ascii="宋体" w:hAnsi="宋体" w:cs="宋体"/>
          <w:bCs/>
          <w:szCs w:val="21"/>
        </w:rPr>
        <w:t>21.体外除颤监护仪IP防护等级满足IP44等级要求。</w:t>
      </w:r>
    </w:p>
    <w:p>
      <w:pPr>
        <w:widowControl/>
        <w:spacing w:line="360" w:lineRule="auto"/>
        <w:ind w:firstLine="422" w:firstLineChars="200"/>
        <w:jc w:val="left"/>
        <w:outlineLvl w:val="2"/>
        <w:rPr>
          <w:rFonts w:ascii="宋体" w:hAnsi="宋体" w:cs="宋体"/>
          <w:b/>
          <w:szCs w:val="21"/>
        </w:rPr>
      </w:pPr>
      <w:r>
        <w:rPr>
          <w:rFonts w:hint="eastAsia" w:ascii="宋体" w:hAnsi="宋体" w:cs="宋体"/>
          <w:b/>
          <w:szCs w:val="21"/>
        </w:rPr>
        <w:t>3、设备名称：转运呼吸机</w:t>
      </w:r>
    </w:p>
    <w:p>
      <w:pPr>
        <w:widowControl/>
        <w:spacing w:line="360" w:lineRule="auto"/>
        <w:ind w:firstLine="420" w:firstLineChars="200"/>
        <w:jc w:val="left"/>
        <w:rPr>
          <w:rFonts w:ascii="宋体" w:hAnsi="宋体" w:cs="宋体"/>
          <w:bCs/>
          <w:szCs w:val="21"/>
        </w:rPr>
      </w:pPr>
      <w:r>
        <w:rPr>
          <w:rFonts w:hint="eastAsia" w:ascii="宋体" w:hAnsi="宋体" w:cs="宋体"/>
          <w:bCs/>
          <w:szCs w:val="21"/>
        </w:rPr>
        <w:t>设备数量：1台</w:t>
      </w:r>
    </w:p>
    <w:p>
      <w:pPr>
        <w:widowControl/>
        <w:spacing w:line="360" w:lineRule="auto"/>
        <w:ind w:firstLine="420" w:firstLineChars="200"/>
        <w:jc w:val="left"/>
        <w:rPr>
          <w:rFonts w:ascii="宋体" w:hAnsi="宋体" w:cs="宋体"/>
          <w:b/>
          <w:bCs/>
          <w:szCs w:val="21"/>
        </w:rPr>
      </w:pPr>
      <w:r>
        <w:rPr>
          <w:rFonts w:hint="eastAsia" w:ascii="宋体" w:hAnsi="宋体" w:cs="宋体"/>
          <w:bCs/>
          <w:szCs w:val="21"/>
        </w:rPr>
        <w:t>技术要求：</w:t>
      </w:r>
    </w:p>
    <w:p>
      <w:pPr>
        <w:widowControl/>
        <w:spacing w:line="360" w:lineRule="auto"/>
        <w:ind w:firstLine="420" w:firstLineChars="200"/>
        <w:jc w:val="left"/>
        <w:rPr>
          <w:rFonts w:ascii="宋体" w:hAnsi="宋体" w:cs="宋体"/>
          <w:szCs w:val="21"/>
        </w:rPr>
      </w:pPr>
      <w:r>
        <w:rPr>
          <w:rFonts w:hint="eastAsia" w:ascii="宋体" w:hAnsi="宋体" w:cs="宋体"/>
          <w:szCs w:val="21"/>
        </w:rPr>
        <w:t>1.适用范围：用于院外或院内的幼儿、儿童、成人患者进行转运途中的呼吸生命支持。</w:t>
      </w:r>
    </w:p>
    <w:p>
      <w:pPr>
        <w:widowControl/>
        <w:spacing w:line="360" w:lineRule="auto"/>
        <w:ind w:firstLine="420" w:firstLineChars="200"/>
        <w:jc w:val="left"/>
        <w:rPr>
          <w:rFonts w:ascii="宋体" w:hAnsi="宋体" w:cs="宋体"/>
          <w:szCs w:val="21"/>
        </w:rPr>
      </w:pPr>
      <w:r>
        <w:rPr>
          <w:rFonts w:hint="eastAsia" w:ascii="宋体" w:hAnsi="宋体" w:cs="宋体"/>
          <w:szCs w:val="21"/>
        </w:rPr>
        <w:t>2.驱动方式：气动电控型或电动电控型</w:t>
      </w:r>
    </w:p>
    <w:p>
      <w:pPr>
        <w:widowControl/>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屏幕尺寸≥2.4彩色TFT屏，分辨率≥320*240</w:t>
      </w:r>
    </w:p>
    <w:p>
      <w:pPr>
        <w:widowControl/>
        <w:spacing w:line="360" w:lineRule="auto"/>
        <w:ind w:firstLine="420" w:firstLineChars="200"/>
        <w:jc w:val="left"/>
        <w:rPr>
          <w:rFonts w:ascii="宋体" w:hAnsi="宋体" w:cs="宋体"/>
          <w:szCs w:val="21"/>
        </w:rPr>
      </w:pPr>
      <w:r>
        <w:rPr>
          <w:rFonts w:hint="eastAsia" w:ascii="宋体" w:hAnsi="宋体" w:cs="宋体"/>
          <w:szCs w:val="21"/>
        </w:rPr>
        <w:t>4.显示屏可显示电池状态、外界电源情况、实时气道压力、平均气道压力、峰值气道压力等状态;</w:t>
      </w:r>
    </w:p>
    <w:p>
      <w:pPr>
        <w:widowControl/>
        <w:spacing w:line="360" w:lineRule="auto"/>
        <w:ind w:firstLine="420" w:firstLineChars="200"/>
        <w:jc w:val="left"/>
        <w:rPr>
          <w:rFonts w:ascii="宋体" w:hAnsi="宋体" w:cs="宋体"/>
          <w:szCs w:val="21"/>
        </w:rPr>
      </w:pPr>
      <w:r>
        <w:rPr>
          <w:rFonts w:hint="eastAsia" w:ascii="宋体" w:hAnsi="宋体" w:cs="宋体"/>
          <w:szCs w:val="21"/>
        </w:rPr>
        <w:t>5.呼吸模式：IPPV、辅助呼吸功能（Assist）、手动呼吸模式（M）等。</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6.工作压力:2.7 ～ 6.0bar</w:t>
      </w:r>
    </w:p>
    <w:p>
      <w:pPr>
        <w:widowControl/>
        <w:spacing w:line="360" w:lineRule="auto"/>
        <w:ind w:firstLine="420" w:firstLineChars="200"/>
        <w:jc w:val="left"/>
        <w:rPr>
          <w:rFonts w:ascii="宋体" w:hAnsi="宋体" w:cs="宋体"/>
          <w:szCs w:val="21"/>
        </w:rPr>
      </w:pPr>
      <w:r>
        <w:rPr>
          <w:rFonts w:hint="eastAsia" w:ascii="宋体" w:hAnsi="宋体" w:cs="宋体"/>
          <w:szCs w:val="21"/>
        </w:rPr>
        <w:t>7.吸呼时间比:  可调</w:t>
      </w:r>
    </w:p>
    <w:p>
      <w:pPr>
        <w:widowControl/>
        <w:spacing w:line="360" w:lineRule="auto"/>
        <w:ind w:firstLine="420" w:firstLineChars="200"/>
        <w:jc w:val="left"/>
        <w:rPr>
          <w:rFonts w:ascii="宋体" w:hAnsi="宋体" w:cs="宋体"/>
          <w:szCs w:val="21"/>
        </w:rPr>
      </w:pPr>
      <w:r>
        <w:rPr>
          <w:rFonts w:hint="eastAsia" w:ascii="宋体" w:hAnsi="宋体" w:cs="宋体"/>
          <w:szCs w:val="21"/>
        </w:rPr>
        <w:t>8.潮气量：100ML - 1100ML可调</w:t>
      </w:r>
    </w:p>
    <w:p>
      <w:pPr>
        <w:widowControl/>
        <w:spacing w:line="360" w:lineRule="auto"/>
        <w:ind w:firstLine="420" w:firstLineChars="200"/>
        <w:jc w:val="left"/>
        <w:rPr>
          <w:rFonts w:ascii="宋体" w:hAnsi="宋体" w:cs="宋体"/>
          <w:szCs w:val="21"/>
        </w:rPr>
      </w:pPr>
      <w:r>
        <w:rPr>
          <w:rFonts w:hint="eastAsia" w:ascii="宋体" w:hAnsi="宋体" w:cs="宋体"/>
          <w:szCs w:val="21"/>
        </w:rPr>
        <w:t>9.氧气浓度：60%和100%，不少于2档可调</w:t>
      </w:r>
    </w:p>
    <w:p>
      <w:pPr>
        <w:widowControl/>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.每分钟呼吸流量（MV）：3-20L/min可调，可调</w:t>
      </w:r>
    </w:p>
    <w:p>
      <w:pPr>
        <w:widowControl/>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.呼吸频率：5～40bpm，不少于10档可调</w:t>
      </w:r>
    </w:p>
    <w:p>
      <w:pPr>
        <w:widowControl/>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.触发压力：-2～-4mbar之间，误差±1mbar</w:t>
      </w:r>
    </w:p>
    <w:p>
      <w:pPr>
        <w:widowControl/>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.监测指标：气道压力(-10～60mbar)，气道阻塞，电池电量，气源压力等</w:t>
      </w:r>
    </w:p>
    <w:p>
      <w:pPr>
        <w:widowControl/>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.气道压力上限：20-60mbar连续可调</w:t>
      </w:r>
    </w:p>
    <w:p>
      <w:pPr>
        <w:widowControl/>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.气道安全压力：≤75mbar</w:t>
      </w:r>
    </w:p>
    <w:p>
      <w:pPr>
        <w:widowControl/>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.呼吸系统顺应性≤ 100 ml/cmH2O</w:t>
      </w:r>
    </w:p>
    <w:p>
      <w:pPr>
        <w:widowControl/>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.吸气和呼气阻力：流量30L/min和60L/min不大于6hPa</w:t>
      </w:r>
    </w:p>
    <w:p>
      <w:pPr>
        <w:widowControl/>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8</w:t>
      </w:r>
      <w:r>
        <w:rPr>
          <w:rFonts w:hint="eastAsia" w:ascii="宋体" w:hAnsi="宋体" w:cs="宋体"/>
          <w:szCs w:val="21"/>
        </w:rPr>
        <w:t>.呼吸软管接头：硅胶螺纹管Φ15mm/内Φ22mm</w:t>
      </w:r>
    </w:p>
    <w:p>
      <w:pPr>
        <w:widowControl/>
        <w:spacing w:line="360" w:lineRule="auto"/>
        <w:ind w:firstLine="420" w:firstLineChars="200"/>
        <w:jc w:val="left"/>
        <w:rPr>
          <w:rFonts w:ascii="宋体" w:hAnsi="宋体" w:cs="宋体"/>
          <w:szCs w:val="21"/>
        </w:rPr>
      </w:pPr>
      <w:r>
        <w:rPr>
          <w:rFonts w:hint="eastAsia" w:ascii="宋体" w:hAnsi="宋体" w:cs="宋体"/>
          <w:szCs w:val="21"/>
          <w:lang w:val="en-US" w:eastAsia="zh-CN"/>
        </w:rPr>
        <w:t>19</w:t>
      </w:r>
      <w:r>
        <w:rPr>
          <w:rFonts w:hint="eastAsia" w:ascii="宋体" w:hAnsi="宋体" w:cs="宋体"/>
          <w:szCs w:val="21"/>
        </w:rPr>
        <w:t>.电源：AC：100 ～240V， 1.5～4A，50～60HZ；DC：12V 适配器</w:t>
      </w:r>
    </w:p>
    <w:p>
      <w:pPr>
        <w:widowControl/>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w:t>
      </w:r>
      <w:r>
        <w:rPr>
          <w:rFonts w:hint="eastAsia" w:ascii="宋体" w:hAnsi="宋体" w:cs="宋体"/>
          <w:szCs w:val="21"/>
        </w:rPr>
        <w:t>可充电锂电池，电池功率≥3400mAh，可连续使用6小时以上</w:t>
      </w:r>
    </w:p>
    <w:p>
      <w:pPr>
        <w:widowControl/>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.防水保护等级:IPX4</w:t>
      </w:r>
    </w:p>
    <w:p>
      <w:pPr>
        <w:widowControl/>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w:t>
      </w:r>
      <w:r>
        <w:rPr>
          <w:rFonts w:hint="eastAsia" w:ascii="宋体" w:hAnsi="宋体" w:cs="宋体"/>
          <w:szCs w:val="21"/>
        </w:rPr>
        <w:t>产品通过国际救护车EN1789认证，提供认证证书.</w:t>
      </w:r>
    </w:p>
    <w:p>
      <w:pPr>
        <w:widowControl/>
        <w:wordWrap w:val="0"/>
        <w:spacing w:line="360" w:lineRule="auto"/>
        <w:ind w:firstLine="422" w:firstLineChars="200"/>
        <w:jc w:val="left"/>
        <w:outlineLvl w:val="2"/>
        <w:rPr>
          <w:rFonts w:hint="eastAsia" w:ascii="宋体" w:hAnsi="宋体" w:eastAsia="宋体" w:cs="宋体"/>
          <w:b/>
          <w:kern w:val="0"/>
          <w:szCs w:val="21"/>
          <w:lang w:eastAsia="zh-CN"/>
        </w:rPr>
      </w:pPr>
      <w:r>
        <w:rPr>
          <w:rFonts w:hint="eastAsia" w:ascii="宋体" w:hAnsi="宋体" w:cs="宋体"/>
          <w:b/>
          <w:kern w:val="0"/>
          <w:szCs w:val="21"/>
        </w:rPr>
        <w:t>4、</w:t>
      </w:r>
      <w:r>
        <w:rPr>
          <w:rFonts w:hint="eastAsia" w:ascii="宋体" w:hAnsi="宋体" w:cs="宋体"/>
          <w:b/>
          <w:kern w:val="0"/>
          <w:szCs w:val="21"/>
          <w:lang w:val="en-US" w:eastAsia="zh-CN"/>
        </w:rPr>
        <w:t>电动吸引器</w:t>
      </w:r>
    </w:p>
    <w:p>
      <w:pPr>
        <w:widowControl/>
        <w:wordWrap w:val="0"/>
        <w:spacing w:line="360" w:lineRule="auto"/>
        <w:ind w:firstLine="420" w:firstLineChars="200"/>
        <w:jc w:val="left"/>
        <w:rPr>
          <w:rFonts w:ascii="宋体" w:hAnsi="宋体" w:cs="宋体"/>
          <w:bCs/>
          <w:kern w:val="0"/>
          <w:szCs w:val="21"/>
        </w:rPr>
      </w:pPr>
      <w:r>
        <w:rPr>
          <w:rFonts w:hint="eastAsia" w:ascii="宋体" w:hAnsi="宋体" w:cs="宋体"/>
          <w:bCs/>
          <w:szCs w:val="21"/>
        </w:rPr>
        <w:t>设备数量：1台</w:t>
      </w:r>
    </w:p>
    <w:p>
      <w:pPr>
        <w:widowControl/>
        <w:wordWrap w:val="0"/>
        <w:spacing w:line="360" w:lineRule="auto"/>
        <w:ind w:firstLine="420" w:firstLineChars="200"/>
        <w:jc w:val="left"/>
        <w:rPr>
          <w:rFonts w:ascii="宋体" w:hAnsi="宋体" w:cs="宋体"/>
          <w:bCs/>
          <w:szCs w:val="21"/>
        </w:rPr>
      </w:pPr>
      <w:r>
        <w:rPr>
          <w:rFonts w:hint="eastAsia" w:ascii="宋体" w:hAnsi="宋体" w:cs="宋体"/>
          <w:bCs/>
          <w:szCs w:val="21"/>
        </w:rPr>
        <w:t>技术要求：</w:t>
      </w:r>
    </w:p>
    <w:p>
      <w:pPr>
        <w:widowControl/>
        <w:wordWrap w:val="0"/>
        <w:spacing w:line="360" w:lineRule="auto"/>
        <w:ind w:firstLine="420" w:firstLineChars="200"/>
        <w:jc w:val="left"/>
        <w:rPr>
          <w:rFonts w:ascii="宋体" w:hAnsi="宋体" w:cs="宋体"/>
          <w:szCs w:val="21"/>
        </w:rPr>
      </w:pPr>
      <w:r>
        <w:rPr>
          <w:rFonts w:hint="eastAsia" w:ascii="宋体" w:hAnsi="宋体" w:cs="宋体"/>
          <w:szCs w:val="21"/>
        </w:rPr>
        <w:t>1.便携式、交/直流两用的高负压、高流量医用吸引装置。适用于供医疗机构吸出阻塞于病患者咽喉中的分泌物、血液及呕吐物，尤其适用于在野外或交通工具的场合。</w:t>
      </w:r>
    </w:p>
    <w:p>
      <w:pPr>
        <w:widowControl/>
        <w:wordWrap w:val="0"/>
        <w:spacing w:line="360" w:lineRule="auto"/>
        <w:ind w:firstLine="420" w:firstLineChars="200"/>
        <w:jc w:val="left"/>
        <w:rPr>
          <w:rFonts w:ascii="宋体" w:hAnsi="宋体" w:cs="宋体"/>
          <w:szCs w:val="21"/>
        </w:rPr>
      </w:pPr>
      <w:r>
        <w:rPr>
          <w:rFonts w:hint="eastAsia" w:ascii="宋体" w:hAnsi="宋体" w:cs="宋体"/>
          <w:szCs w:val="21"/>
        </w:rPr>
        <w:t>2.采用负压泵作负压源，无油雾污染，可免去泵体的日常维护和保养，设备运行时压力系统不会产生正压。</w:t>
      </w:r>
    </w:p>
    <w:p>
      <w:pPr>
        <w:widowControl/>
        <w:wordWrap w:val="0"/>
        <w:spacing w:line="360" w:lineRule="auto"/>
        <w:ind w:firstLine="420" w:firstLineChars="200"/>
        <w:jc w:val="left"/>
        <w:rPr>
          <w:rFonts w:ascii="宋体" w:hAnsi="宋体" w:cs="宋体"/>
          <w:szCs w:val="21"/>
        </w:rPr>
      </w:pPr>
      <w:r>
        <w:rPr>
          <w:rFonts w:hint="eastAsia" w:ascii="宋体" w:hAnsi="宋体" w:cs="宋体"/>
          <w:szCs w:val="21"/>
        </w:rPr>
        <w:t>3.采用交流、外接直流和机内电池三种供电方式，其中机内电池在充足情况下可连续使用30分钟以上，并可反复充电。</w:t>
      </w:r>
    </w:p>
    <w:p>
      <w:pPr>
        <w:widowControl/>
        <w:wordWrap w:val="0"/>
        <w:spacing w:line="360" w:lineRule="auto"/>
        <w:ind w:firstLine="420" w:firstLineChars="200"/>
        <w:jc w:val="left"/>
        <w:rPr>
          <w:rFonts w:ascii="宋体" w:hAnsi="宋体" w:cs="宋体"/>
          <w:szCs w:val="21"/>
        </w:rPr>
      </w:pPr>
      <w:r>
        <w:rPr>
          <w:rFonts w:hint="eastAsia" w:ascii="宋体" w:hAnsi="宋体" w:cs="宋体"/>
          <w:szCs w:val="21"/>
        </w:rPr>
        <w:t>4.采用恒压限流充电，可间断累加充电，在外接AC100V～240V，50/60Hz或者DC 12V的情况下均可进行充电，有电池量分段指示。</w:t>
      </w:r>
    </w:p>
    <w:p>
      <w:pPr>
        <w:widowControl/>
        <w:wordWrap w:val="0"/>
        <w:spacing w:line="360" w:lineRule="auto"/>
        <w:ind w:firstLine="420" w:firstLineChars="200"/>
        <w:jc w:val="left"/>
        <w:rPr>
          <w:rFonts w:ascii="宋体" w:hAnsi="宋体" w:cs="宋体"/>
          <w:szCs w:val="21"/>
        </w:rPr>
      </w:pPr>
      <w:r>
        <w:rPr>
          <w:rFonts w:hint="eastAsia" w:ascii="宋体" w:hAnsi="宋体" w:cs="宋体"/>
          <w:szCs w:val="21"/>
        </w:rPr>
        <w:t>5.通过管路上的负压调节阀控制吸引时所需要的负压值，并由面板上的真空表来显示。</w:t>
      </w:r>
    </w:p>
    <w:p>
      <w:pPr>
        <w:widowControl/>
        <w:wordWrap w:val="0"/>
        <w:spacing w:line="360" w:lineRule="auto"/>
        <w:ind w:firstLine="420" w:firstLineChars="200"/>
        <w:jc w:val="left"/>
        <w:rPr>
          <w:rFonts w:ascii="宋体" w:hAnsi="宋体" w:cs="宋体"/>
          <w:szCs w:val="21"/>
        </w:rPr>
      </w:pPr>
      <w:r>
        <w:rPr>
          <w:rFonts w:hint="eastAsia" w:ascii="宋体" w:hAnsi="宋体" w:cs="宋体"/>
          <w:szCs w:val="21"/>
        </w:rPr>
        <w:t>6.塑料外壳美观、轻巧，携带方便，并具有墙挂式结构，可以安装在房间内和交通工具上，也可以挂在轮椅车侧面。</w:t>
      </w:r>
    </w:p>
    <w:p>
      <w:pPr>
        <w:widowControl/>
        <w:wordWrap w:val="0"/>
        <w:spacing w:line="360" w:lineRule="auto"/>
        <w:ind w:firstLine="420" w:firstLineChars="200"/>
        <w:jc w:val="left"/>
        <w:rPr>
          <w:rFonts w:ascii="宋体" w:hAnsi="宋体" w:cs="宋体"/>
          <w:szCs w:val="21"/>
        </w:rPr>
      </w:pPr>
      <w:r>
        <w:rPr>
          <w:rFonts w:hint="eastAsia" w:ascii="宋体" w:hAnsi="宋体" w:cs="宋体"/>
          <w:szCs w:val="21"/>
        </w:rPr>
        <w:t xml:space="preserve">7.极限负压值：≥0.08MPa (600mmHg) </w:t>
      </w:r>
    </w:p>
    <w:p>
      <w:pPr>
        <w:widowControl/>
        <w:wordWrap w:val="0"/>
        <w:spacing w:line="360" w:lineRule="auto"/>
        <w:ind w:firstLine="420" w:firstLineChars="200"/>
        <w:jc w:val="left"/>
        <w:rPr>
          <w:rFonts w:ascii="宋体" w:hAnsi="宋体" w:cs="宋体"/>
          <w:szCs w:val="21"/>
        </w:rPr>
      </w:pPr>
      <w:r>
        <w:rPr>
          <w:rFonts w:hint="eastAsia" w:ascii="宋体" w:hAnsi="宋体" w:cs="宋体"/>
          <w:szCs w:val="21"/>
        </w:rPr>
        <w:t xml:space="preserve">8.负压调节范围：0.02MPa(150mmHg)～极限负压值 </w:t>
      </w:r>
    </w:p>
    <w:p>
      <w:pPr>
        <w:widowControl/>
        <w:wordWrap w:val="0"/>
        <w:spacing w:line="360" w:lineRule="auto"/>
        <w:ind w:firstLine="420" w:firstLineChars="200"/>
        <w:jc w:val="left"/>
        <w:rPr>
          <w:rFonts w:ascii="宋体" w:hAnsi="宋体" w:cs="宋体"/>
          <w:szCs w:val="21"/>
        </w:rPr>
      </w:pPr>
      <w:r>
        <w:rPr>
          <w:rFonts w:hint="eastAsia" w:ascii="宋体" w:hAnsi="宋体" w:cs="宋体"/>
          <w:szCs w:val="21"/>
        </w:rPr>
        <w:t>9.抽气速率：≥20 L/min</w:t>
      </w:r>
    </w:p>
    <w:p>
      <w:pPr>
        <w:widowControl/>
        <w:wordWrap w:val="0"/>
        <w:spacing w:line="360" w:lineRule="auto"/>
        <w:ind w:firstLine="420" w:firstLineChars="200"/>
        <w:jc w:val="left"/>
        <w:rPr>
          <w:rFonts w:ascii="宋体" w:hAnsi="宋体" w:cs="宋体"/>
          <w:szCs w:val="21"/>
        </w:rPr>
      </w:pPr>
      <w:r>
        <w:rPr>
          <w:rFonts w:hint="eastAsia" w:ascii="宋体" w:hAnsi="宋体" w:cs="宋体"/>
          <w:szCs w:val="21"/>
        </w:rPr>
        <w:t>10.噪声：≤65 dB(A)</w:t>
      </w:r>
    </w:p>
    <w:p>
      <w:pPr>
        <w:widowControl/>
        <w:wordWrap w:val="0"/>
        <w:spacing w:line="360" w:lineRule="auto"/>
        <w:ind w:firstLine="420" w:firstLineChars="200"/>
        <w:jc w:val="left"/>
        <w:rPr>
          <w:rFonts w:ascii="宋体" w:hAnsi="宋体" w:cs="宋体"/>
          <w:szCs w:val="21"/>
        </w:rPr>
      </w:pPr>
      <w:r>
        <w:rPr>
          <w:rFonts w:hint="eastAsia" w:ascii="宋体" w:hAnsi="宋体" w:cs="宋体"/>
          <w:szCs w:val="21"/>
        </w:rPr>
        <w:t>11.贮液瓶：1000mL（PC塑料）</w:t>
      </w:r>
    </w:p>
    <w:p>
      <w:pPr>
        <w:widowControl/>
        <w:wordWrap w:val="0"/>
        <w:spacing w:line="360" w:lineRule="auto"/>
        <w:ind w:firstLine="420" w:firstLineChars="200"/>
        <w:jc w:val="left"/>
        <w:rPr>
          <w:rFonts w:ascii="宋体" w:hAnsi="宋体" w:cs="宋体"/>
          <w:szCs w:val="21"/>
        </w:rPr>
      </w:pPr>
      <w:r>
        <w:rPr>
          <w:rFonts w:hint="eastAsia" w:ascii="宋体" w:hAnsi="宋体" w:cs="宋体"/>
          <w:szCs w:val="21"/>
        </w:rPr>
        <w:t>12.电源：AC 100V～240V，50/60Hz；DC 12V</w:t>
      </w:r>
    </w:p>
    <w:p>
      <w:pPr>
        <w:widowControl/>
        <w:wordWrap w:val="0"/>
        <w:spacing w:line="360" w:lineRule="auto"/>
        <w:ind w:firstLine="420" w:firstLineChars="200"/>
        <w:jc w:val="left"/>
        <w:rPr>
          <w:rFonts w:ascii="宋体" w:hAnsi="宋体" w:cs="宋体"/>
          <w:szCs w:val="21"/>
        </w:rPr>
      </w:pPr>
      <w:r>
        <w:rPr>
          <w:rFonts w:hint="eastAsia" w:ascii="宋体" w:hAnsi="宋体" w:cs="宋体"/>
          <w:szCs w:val="21"/>
        </w:rPr>
        <w:t>13.输入功率：110VA</w:t>
      </w:r>
    </w:p>
    <w:p>
      <w:pPr>
        <w:widowControl/>
        <w:tabs>
          <w:tab w:val="left" w:pos="424"/>
        </w:tabs>
        <w:spacing w:line="360" w:lineRule="auto"/>
        <w:ind w:firstLine="420" w:firstLineChars="200"/>
        <w:jc w:val="left"/>
        <w:rPr>
          <w:rFonts w:ascii="宋体" w:hAnsi="宋体" w:cs="宋体"/>
          <w:bCs/>
          <w:szCs w:val="21"/>
        </w:rPr>
      </w:pPr>
      <w:r>
        <w:rPr>
          <w:rFonts w:hint="eastAsia" w:ascii="宋体" w:hAnsi="宋体" w:cs="宋体"/>
          <w:szCs w:val="21"/>
        </w:rPr>
        <w:t>14.净重：≤5.5 ㎏</w:t>
      </w:r>
    </w:p>
    <w:p>
      <w:pPr>
        <w:spacing w:line="360" w:lineRule="auto"/>
        <w:ind w:firstLine="422" w:firstLineChars="200"/>
        <w:outlineLvl w:val="1"/>
        <w:rPr>
          <w:rFonts w:ascii="宋体" w:hAnsi="宋体" w:cs="宋体"/>
          <w:b/>
          <w:szCs w:val="21"/>
          <w:lang w:val="zh-CN"/>
        </w:rPr>
      </w:pPr>
      <w:r>
        <w:rPr>
          <w:rFonts w:hint="eastAsia" w:ascii="宋体" w:hAnsi="宋体" w:cs="宋体"/>
          <w:b/>
          <w:szCs w:val="21"/>
          <w:lang w:val="zh-CN"/>
        </w:rPr>
        <w:t>（二）交货地点、交货时间</w:t>
      </w:r>
    </w:p>
    <w:p>
      <w:pPr>
        <w:widowControl/>
        <w:wordWrap w:val="0"/>
        <w:spacing w:line="360" w:lineRule="auto"/>
        <w:ind w:firstLine="420" w:firstLineChars="200"/>
        <w:jc w:val="left"/>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交货地点：</w:t>
      </w:r>
      <w:r>
        <w:rPr>
          <w:rFonts w:hint="eastAsia" w:ascii="宋体" w:hAnsi="宋体" w:cs="宋体"/>
          <w:szCs w:val="21"/>
        </w:rPr>
        <w:t>采购人单位指定的地点。</w:t>
      </w:r>
    </w:p>
    <w:p>
      <w:pPr>
        <w:widowControl/>
        <w:wordWrap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lang w:val="zh-CN"/>
        </w:rPr>
        <w:t>2、交货时间：</w:t>
      </w:r>
      <w:r>
        <w:rPr>
          <w:rFonts w:hint="eastAsia" w:ascii="宋体" w:hAnsi="宋体" w:cs="宋体"/>
          <w:szCs w:val="21"/>
        </w:rPr>
        <w:t>负压型救护车202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w:t>
      </w:r>
      <w:r>
        <w:rPr>
          <w:rFonts w:hint="eastAsia" w:ascii="宋体" w:hAnsi="宋体" w:cs="宋体"/>
          <w:szCs w:val="21"/>
          <w:lang w:val="en-US" w:eastAsia="zh-CN"/>
        </w:rPr>
        <w:t>前</w:t>
      </w:r>
      <w:r>
        <w:rPr>
          <w:rFonts w:hint="eastAsia" w:ascii="宋体" w:hAnsi="宋体" w:cs="宋体"/>
          <w:szCs w:val="21"/>
        </w:rPr>
        <w:t>到货</w:t>
      </w:r>
      <w:r>
        <w:rPr>
          <w:rFonts w:hint="eastAsia" w:ascii="宋体" w:hAnsi="宋体" w:cs="宋体"/>
          <w:szCs w:val="21"/>
          <w:lang w:eastAsia="zh-CN"/>
        </w:rPr>
        <w:t>。</w:t>
      </w:r>
    </w:p>
    <w:p>
      <w:pPr>
        <w:spacing w:line="360" w:lineRule="auto"/>
        <w:ind w:firstLine="422" w:firstLineChars="200"/>
        <w:outlineLvl w:val="1"/>
        <w:rPr>
          <w:rFonts w:ascii="宋体" w:hAnsi="宋体" w:cs="宋体"/>
          <w:b/>
          <w:szCs w:val="21"/>
          <w:lang w:val="zh-CN"/>
        </w:rPr>
      </w:pPr>
      <w:r>
        <w:rPr>
          <w:rFonts w:hint="eastAsia" w:ascii="宋体" w:hAnsi="宋体" w:cs="宋体"/>
          <w:b/>
          <w:szCs w:val="21"/>
          <w:lang w:val="zh-CN"/>
        </w:rPr>
        <w:t>（三）验收</w:t>
      </w:r>
    </w:p>
    <w:p>
      <w:pPr>
        <w:spacing w:line="360" w:lineRule="auto"/>
        <w:ind w:firstLine="420" w:firstLineChars="200"/>
        <w:rPr>
          <w:rFonts w:ascii="宋体" w:hAnsi="宋体" w:cs="宋体"/>
          <w:bCs/>
          <w:szCs w:val="21"/>
          <w:lang w:val="zh-CN"/>
        </w:rPr>
      </w:pPr>
      <w:r>
        <w:rPr>
          <w:rFonts w:hint="eastAsia" w:ascii="宋体" w:hAnsi="宋体" w:cs="宋体"/>
          <w:bCs/>
          <w:szCs w:val="21"/>
        </w:rPr>
        <w:t>1、</w:t>
      </w:r>
      <w:r>
        <w:rPr>
          <w:rFonts w:hint="eastAsia" w:ascii="宋体" w:hAnsi="宋体" w:cs="宋体"/>
          <w:bCs/>
          <w:szCs w:val="21"/>
          <w:lang w:val="zh-CN"/>
        </w:rPr>
        <w:t>采购人在收到成交供应商车辆验收通知后须马上组织相关人员进行车辆验收工作，采购人收到车辆验收通知后一周内未能进行验收则视为验收合格。</w:t>
      </w:r>
    </w:p>
    <w:p>
      <w:pPr>
        <w:spacing w:line="360" w:lineRule="auto"/>
        <w:ind w:firstLine="420" w:firstLineChars="200"/>
        <w:rPr>
          <w:rFonts w:ascii="宋体" w:hAnsi="宋体" w:cs="宋体"/>
          <w:bCs/>
          <w:szCs w:val="21"/>
          <w:lang w:val="zh-CN"/>
        </w:rPr>
      </w:pPr>
      <w:r>
        <w:rPr>
          <w:rFonts w:hint="eastAsia" w:ascii="宋体" w:hAnsi="宋体" w:cs="宋体"/>
          <w:bCs/>
          <w:szCs w:val="21"/>
        </w:rPr>
        <w:t>2</w:t>
      </w:r>
      <w:r>
        <w:rPr>
          <w:rFonts w:hint="eastAsia" w:ascii="宋体" w:hAnsi="宋体" w:cs="宋体"/>
          <w:bCs/>
          <w:szCs w:val="21"/>
          <w:lang w:val="zh-CN"/>
        </w:rPr>
        <w:t>、验收合格后，采购人应在验收结算书上签字并加盖单位印章。验收合格后，采购人需按约支付货款。如果在验收过程中发现异议应即时向成交供应商提出，双方商议并确定解决方法。</w:t>
      </w:r>
    </w:p>
    <w:p>
      <w:pPr>
        <w:spacing w:line="360" w:lineRule="auto"/>
        <w:ind w:firstLine="422" w:firstLineChars="200"/>
        <w:outlineLvl w:val="1"/>
        <w:rPr>
          <w:rFonts w:ascii="宋体" w:hAnsi="宋体" w:cs="宋体"/>
          <w:b/>
          <w:szCs w:val="21"/>
          <w:lang w:val="zh-CN"/>
        </w:rPr>
      </w:pPr>
      <w:r>
        <w:rPr>
          <w:rFonts w:hint="eastAsia" w:ascii="宋体" w:hAnsi="宋体" w:cs="宋体"/>
          <w:b/>
          <w:szCs w:val="21"/>
          <w:lang w:val="zh-CN"/>
        </w:rPr>
        <w:t>（四）付款</w:t>
      </w:r>
    </w:p>
    <w:p>
      <w:pPr>
        <w:spacing w:line="360" w:lineRule="auto"/>
        <w:ind w:firstLine="420" w:firstLineChars="200"/>
        <w:rPr>
          <w:rFonts w:ascii="宋体" w:hAnsi="宋体" w:cs="宋体"/>
          <w:bCs/>
          <w:szCs w:val="21"/>
          <w:lang w:val="zh-CN"/>
        </w:rPr>
      </w:pPr>
      <w:r>
        <w:rPr>
          <w:rFonts w:hint="eastAsia" w:ascii="宋体" w:hAnsi="宋体" w:cs="宋体"/>
          <w:bCs/>
          <w:szCs w:val="21"/>
          <w:lang w:val="zh-CN"/>
        </w:rPr>
        <w:t>1、本合同以人民币付款。</w:t>
      </w:r>
    </w:p>
    <w:p>
      <w:pPr>
        <w:spacing w:line="360" w:lineRule="auto"/>
        <w:ind w:firstLine="420" w:firstLineChars="200"/>
        <w:rPr>
          <w:rFonts w:ascii="宋体" w:hAnsi="宋体" w:cs="宋体"/>
          <w:bCs/>
          <w:szCs w:val="21"/>
        </w:rPr>
      </w:pPr>
      <w:r>
        <w:rPr>
          <w:rFonts w:hint="eastAsia" w:ascii="宋体" w:hAnsi="宋体" w:cs="宋体"/>
          <w:bCs/>
          <w:szCs w:val="21"/>
          <w:lang w:val="zh-CN"/>
        </w:rPr>
        <w:t>2、自</w:t>
      </w:r>
      <w:r>
        <w:rPr>
          <w:rFonts w:hint="eastAsia" w:ascii="宋体" w:hAnsi="宋体" w:cs="宋体"/>
          <w:bCs/>
          <w:szCs w:val="21"/>
        </w:rPr>
        <w:t>负压型救护车验收合格后</w:t>
      </w:r>
      <w:r>
        <w:rPr>
          <w:rFonts w:hint="eastAsia" w:ascii="宋体" w:hAnsi="宋体" w:cs="宋体"/>
          <w:bCs/>
          <w:szCs w:val="21"/>
          <w:lang w:val="en-US" w:eastAsia="zh-CN"/>
        </w:rPr>
        <w:t>7工作</w:t>
      </w:r>
      <w:r>
        <w:rPr>
          <w:rFonts w:hint="eastAsia" w:ascii="宋体" w:hAnsi="宋体" w:cs="宋体"/>
          <w:bCs/>
          <w:szCs w:val="21"/>
        </w:rPr>
        <w:t>日内支付合同</w:t>
      </w:r>
      <w:r>
        <w:rPr>
          <w:rFonts w:hint="eastAsia" w:ascii="宋体" w:hAnsi="宋体" w:cs="宋体"/>
          <w:bCs/>
          <w:szCs w:val="21"/>
          <w:lang w:eastAsia="zh-CN"/>
        </w:rPr>
        <w:t>金额的</w:t>
      </w:r>
      <w:r>
        <w:rPr>
          <w:rFonts w:hint="eastAsia" w:ascii="宋体" w:hAnsi="宋体" w:cs="宋体"/>
          <w:bCs/>
          <w:szCs w:val="21"/>
          <w:lang w:val="en-US" w:eastAsia="zh-CN"/>
        </w:rPr>
        <w:t>95%款项，剩余5%款项在验收合格6个月后一次性无息支付</w:t>
      </w:r>
      <w:r>
        <w:rPr>
          <w:rFonts w:hint="eastAsia" w:ascii="宋体" w:hAnsi="宋体" w:cs="宋体"/>
          <w:bCs/>
          <w:szCs w:val="21"/>
        </w:rPr>
        <w:t>。</w:t>
      </w:r>
    </w:p>
    <w:p>
      <w:pPr>
        <w:spacing w:line="360" w:lineRule="auto"/>
        <w:ind w:firstLine="422" w:firstLineChars="200"/>
        <w:outlineLvl w:val="1"/>
        <w:rPr>
          <w:rFonts w:ascii="宋体" w:hAnsi="宋体" w:cs="宋体"/>
          <w:b/>
          <w:szCs w:val="21"/>
          <w:lang w:val="zh-CN"/>
        </w:rPr>
      </w:pPr>
      <w:r>
        <w:rPr>
          <w:rFonts w:hint="eastAsia" w:ascii="宋体" w:hAnsi="宋体" w:cs="宋体"/>
          <w:b/>
          <w:szCs w:val="21"/>
          <w:lang w:val="zh-CN"/>
        </w:rPr>
        <w:t>（五）质量保证</w:t>
      </w:r>
    </w:p>
    <w:p>
      <w:pPr>
        <w:spacing w:line="360" w:lineRule="auto"/>
        <w:ind w:firstLine="420" w:firstLineChars="200"/>
        <w:rPr>
          <w:rFonts w:ascii="宋体" w:hAnsi="宋体" w:cs="宋体"/>
          <w:bCs/>
          <w:szCs w:val="21"/>
          <w:lang w:val="zh-CN"/>
        </w:rPr>
      </w:pPr>
      <w:r>
        <w:rPr>
          <w:rFonts w:hint="eastAsia" w:ascii="宋体" w:hAnsi="宋体" w:cs="宋体"/>
          <w:bCs/>
          <w:szCs w:val="21"/>
          <w:lang w:val="zh-CN"/>
        </w:rPr>
        <w:t>1、成交供应商应保证所供车辆是全新的并达到国家规定的质量、规格和性能的要求。成交供应商应保证其车辆在正常使用和保养条件下，在其使用寿命期内应具有规定的性能。在本合同约定的质量期内，成交供应商对由于设计、工艺或材料的缺陷而产生的故障负责维修并承担维修费。</w:t>
      </w:r>
    </w:p>
    <w:p>
      <w:pPr>
        <w:spacing w:line="360" w:lineRule="auto"/>
        <w:ind w:firstLine="420" w:firstLineChars="200"/>
        <w:rPr>
          <w:rFonts w:ascii="宋体" w:hAnsi="宋体" w:cs="宋体"/>
          <w:bCs/>
          <w:szCs w:val="21"/>
          <w:lang w:val="zh-CN"/>
        </w:rPr>
      </w:pPr>
      <w:r>
        <w:rPr>
          <w:rFonts w:hint="eastAsia" w:ascii="宋体" w:hAnsi="宋体" w:cs="宋体"/>
          <w:bCs/>
          <w:szCs w:val="21"/>
          <w:lang w:val="zh-CN"/>
        </w:rPr>
        <w:t>2、在质量保证期内，如果车辆的数量、质量或规格与合同约定不符，或证实车辆存在缺陷的，包括潜在的缺陷或使用不符合要求的材料等，采购人或使用单位应以书面形式向成交供应商提出本保证下的索赔。</w:t>
      </w:r>
    </w:p>
    <w:p>
      <w:pPr>
        <w:spacing w:line="360" w:lineRule="auto"/>
        <w:ind w:firstLine="420" w:firstLineChars="200"/>
        <w:rPr>
          <w:rFonts w:ascii="宋体" w:hAnsi="宋体" w:cs="宋体"/>
          <w:bCs/>
          <w:szCs w:val="21"/>
          <w:lang w:val="zh-CN"/>
        </w:rPr>
      </w:pPr>
      <w:r>
        <w:rPr>
          <w:rFonts w:hint="eastAsia" w:ascii="宋体" w:hAnsi="宋体" w:cs="宋体"/>
          <w:bCs/>
          <w:szCs w:val="21"/>
          <w:lang w:val="zh-CN"/>
        </w:rPr>
        <w:t>3、车辆在交付后3个月之内上牌。采购人需在上牌以后10 个工作日内向成交供应商提供救护车行驶证扫描件。如采购人未按该约定执定，成交供应商不承担由此产生的售后保修责任及无法上牌的任何责任。</w:t>
      </w:r>
    </w:p>
    <w:p>
      <w:pPr>
        <w:spacing w:line="360" w:lineRule="auto"/>
        <w:ind w:firstLine="422" w:firstLineChars="200"/>
        <w:outlineLvl w:val="1"/>
        <w:rPr>
          <w:rFonts w:ascii="宋体" w:hAnsi="宋体" w:cs="宋体"/>
          <w:b/>
          <w:szCs w:val="21"/>
          <w:lang w:val="zh-CN"/>
        </w:rPr>
      </w:pPr>
      <w:r>
        <w:rPr>
          <w:rFonts w:hint="eastAsia" w:ascii="宋体" w:hAnsi="宋体" w:cs="宋体"/>
          <w:b/>
          <w:szCs w:val="21"/>
          <w:lang w:val="zh-CN"/>
        </w:rPr>
        <w:t>（六）售后服务</w:t>
      </w:r>
    </w:p>
    <w:p>
      <w:pPr>
        <w:spacing w:line="360" w:lineRule="auto"/>
        <w:ind w:firstLine="420" w:firstLineChars="200"/>
        <w:rPr>
          <w:rFonts w:ascii="宋体" w:hAnsi="宋体" w:cs="宋体"/>
          <w:bCs/>
          <w:szCs w:val="21"/>
          <w:lang w:val="zh-CN"/>
        </w:rPr>
      </w:pPr>
      <w:r>
        <w:rPr>
          <w:rFonts w:hint="eastAsia" w:ascii="宋体" w:hAnsi="宋体" w:cs="宋体"/>
          <w:bCs/>
          <w:szCs w:val="21"/>
          <w:lang w:val="zh-CN"/>
        </w:rPr>
        <w:t>1、质量保证期：车辆底盘保修期为验收合格起</w:t>
      </w:r>
      <w:r>
        <w:rPr>
          <w:rFonts w:hint="eastAsia" w:ascii="宋体" w:hAnsi="宋体" w:cs="宋体"/>
          <w:bCs/>
          <w:szCs w:val="21"/>
        </w:rPr>
        <w:t>3</w:t>
      </w:r>
      <w:r>
        <w:rPr>
          <w:rFonts w:hint="eastAsia" w:ascii="宋体" w:hAnsi="宋体" w:cs="宋体"/>
          <w:bCs/>
          <w:szCs w:val="21"/>
          <w:lang w:val="zh-CN"/>
        </w:rPr>
        <w:t>年或</w:t>
      </w:r>
      <w:r>
        <w:rPr>
          <w:rFonts w:hint="eastAsia" w:ascii="宋体" w:hAnsi="宋体" w:cs="宋体"/>
          <w:bCs/>
          <w:szCs w:val="21"/>
        </w:rPr>
        <w:t>10</w:t>
      </w:r>
      <w:r>
        <w:rPr>
          <w:rFonts w:hint="eastAsia" w:ascii="宋体" w:hAnsi="宋体" w:cs="宋体"/>
          <w:bCs/>
          <w:szCs w:val="21"/>
          <w:lang w:val="zh-CN"/>
        </w:rPr>
        <w:t>万公里（以先到为准）；</w:t>
      </w:r>
      <w:r>
        <w:rPr>
          <w:rFonts w:hint="eastAsia" w:ascii="宋体" w:hAnsi="宋体" w:cs="宋体"/>
          <w:bCs/>
          <w:szCs w:val="21"/>
        </w:rPr>
        <w:t>医疗设备（除颤监护仪、转运呼吸机）质保</w:t>
      </w:r>
      <w:r>
        <w:rPr>
          <w:rFonts w:hint="eastAsia" w:ascii="宋体" w:hAnsi="宋体" w:cs="宋体"/>
          <w:bCs/>
          <w:szCs w:val="21"/>
          <w:lang w:val="zh-CN"/>
        </w:rPr>
        <w:t>期为</w:t>
      </w:r>
      <w:r>
        <w:rPr>
          <w:rFonts w:hint="eastAsia" w:ascii="宋体" w:hAnsi="宋体" w:cs="宋体"/>
          <w:bCs/>
          <w:szCs w:val="21"/>
        </w:rPr>
        <w:t>3</w:t>
      </w:r>
      <w:r>
        <w:rPr>
          <w:rFonts w:hint="eastAsia" w:ascii="宋体" w:hAnsi="宋体" w:cs="宋体"/>
          <w:bCs/>
          <w:szCs w:val="21"/>
          <w:lang w:val="zh-CN"/>
        </w:rPr>
        <w:t>年；</w:t>
      </w:r>
      <w:r>
        <w:rPr>
          <w:rFonts w:hint="eastAsia" w:ascii="宋体" w:hAnsi="宋体" w:cs="宋体"/>
          <w:bCs/>
          <w:szCs w:val="21"/>
        </w:rPr>
        <w:t>车辆</w:t>
      </w:r>
      <w:r>
        <w:rPr>
          <w:rFonts w:hint="eastAsia" w:ascii="宋体" w:hAnsi="宋体" w:cs="宋体"/>
          <w:bCs/>
          <w:szCs w:val="21"/>
          <w:lang w:val="zh-CN"/>
        </w:rPr>
        <w:t>医疗舱改装部分</w:t>
      </w:r>
      <w:r>
        <w:rPr>
          <w:rFonts w:hint="eastAsia" w:ascii="宋体" w:hAnsi="宋体" w:cs="宋体"/>
          <w:bCs/>
          <w:szCs w:val="21"/>
        </w:rPr>
        <w:t>及其他医疗设备质保期为2年</w:t>
      </w:r>
      <w:r>
        <w:rPr>
          <w:rFonts w:hint="eastAsia" w:ascii="宋体" w:hAnsi="宋体" w:cs="宋体"/>
          <w:bCs/>
          <w:szCs w:val="21"/>
          <w:lang w:val="zh-CN"/>
        </w:rPr>
        <w:t>。</w:t>
      </w:r>
    </w:p>
    <w:p>
      <w:pPr>
        <w:spacing w:line="360" w:lineRule="auto"/>
        <w:ind w:firstLine="420" w:firstLineChars="200"/>
        <w:rPr>
          <w:rFonts w:ascii="宋体" w:hAnsi="宋体" w:cs="宋体"/>
          <w:bCs/>
          <w:szCs w:val="21"/>
          <w:lang w:val="zh-CN"/>
        </w:rPr>
      </w:pPr>
      <w:r>
        <w:rPr>
          <w:rFonts w:hint="eastAsia" w:ascii="宋体" w:hAnsi="宋体" w:cs="宋体"/>
          <w:bCs/>
          <w:szCs w:val="21"/>
          <w:lang w:val="zh-CN"/>
        </w:rPr>
        <w:t>2、质量保证责任由成交供应商承担实现。</w:t>
      </w:r>
    </w:p>
    <w:p>
      <w:pPr>
        <w:spacing w:line="360" w:lineRule="auto"/>
        <w:ind w:firstLine="422" w:firstLineChars="200"/>
        <w:outlineLvl w:val="1"/>
        <w:rPr>
          <w:rFonts w:ascii="宋体" w:hAnsi="宋体" w:cs="宋体"/>
          <w:b/>
          <w:szCs w:val="21"/>
          <w:lang w:val="zh-CN"/>
        </w:rPr>
      </w:pPr>
      <w:r>
        <w:rPr>
          <w:rFonts w:hint="eastAsia" w:ascii="宋体" w:hAnsi="宋体" w:cs="宋体"/>
          <w:b/>
          <w:szCs w:val="21"/>
          <w:lang w:val="zh-CN"/>
        </w:rPr>
        <w:t>（七）违约责任</w:t>
      </w:r>
    </w:p>
    <w:p>
      <w:pPr>
        <w:spacing w:line="360" w:lineRule="auto"/>
        <w:ind w:firstLine="420" w:firstLineChars="200"/>
        <w:rPr>
          <w:rFonts w:ascii="宋体" w:hAnsi="宋体" w:cs="宋体"/>
          <w:bCs/>
          <w:szCs w:val="21"/>
          <w:lang w:val="zh-CN"/>
        </w:rPr>
      </w:pPr>
      <w:r>
        <w:rPr>
          <w:rFonts w:hint="eastAsia" w:ascii="宋体" w:hAnsi="宋体" w:cs="宋体"/>
          <w:bCs/>
          <w:szCs w:val="21"/>
          <w:lang w:val="zh-CN"/>
        </w:rPr>
        <w:t>1、采购人无正当理由延期或拒绝验收、提车和支付货款的，每延期一日，应按合同总千分之三比例向成交供应商支付违约金，违约金的最高额限为合同总价的3%。延期超过20日的，成交供应商有权解除合同。</w:t>
      </w:r>
    </w:p>
    <w:p>
      <w:pPr>
        <w:spacing w:line="360" w:lineRule="auto"/>
        <w:ind w:firstLine="420" w:firstLineChars="200"/>
        <w:rPr>
          <w:rFonts w:ascii="宋体" w:hAnsi="宋体" w:cs="宋体"/>
          <w:bCs/>
          <w:szCs w:val="21"/>
          <w:lang w:val="zh-CN"/>
        </w:rPr>
      </w:pPr>
      <w:r>
        <w:rPr>
          <w:rFonts w:hint="eastAsia" w:ascii="宋体" w:hAnsi="宋体" w:cs="宋体"/>
          <w:bCs/>
          <w:szCs w:val="21"/>
          <w:lang w:val="zh-CN"/>
        </w:rPr>
        <w:t>2、成交供应商逾期交货的，每延期一日，应合同总价千分之三的比例向采购人支付作为违约金，违约金的最高限额为合同总价的3%。延期超过20日，采购人有权解除合同。</w:t>
      </w:r>
    </w:p>
    <w:p>
      <w:pPr>
        <w:spacing w:line="360" w:lineRule="auto"/>
        <w:ind w:firstLine="420" w:firstLineChars="200"/>
        <w:rPr>
          <w:rFonts w:ascii="宋体" w:hAnsi="宋体" w:cs="宋体"/>
          <w:bCs/>
          <w:szCs w:val="21"/>
          <w:lang w:val="zh-CN"/>
        </w:rPr>
      </w:pPr>
      <w:r>
        <w:rPr>
          <w:rFonts w:hint="eastAsia" w:ascii="宋体" w:hAnsi="宋体" w:cs="宋体"/>
          <w:bCs/>
          <w:szCs w:val="21"/>
          <w:lang w:val="zh-CN"/>
        </w:rPr>
        <w:t>3、在质量保证期内，成交供应商所交付或提供的物品质量、服务及培训不符合国家法律法规和合同约定的，由成交供应商负责承担保修责任，并承担由此而产生的实际费用；</w:t>
      </w:r>
    </w:p>
    <w:p>
      <w:pPr>
        <w:spacing w:line="360" w:lineRule="auto"/>
        <w:ind w:firstLine="420" w:firstLineChars="200"/>
        <w:rPr>
          <w:rFonts w:ascii="宋体" w:hAnsi="宋体" w:cs="宋体"/>
          <w:bCs/>
          <w:szCs w:val="21"/>
          <w:lang w:val="zh-CN"/>
        </w:rPr>
      </w:pPr>
      <w:r>
        <w:rPr>
          <w:rFonts w:hint="eastAsia" w:ascii="宋体" w:hAnsi="宋体" w:cs="宋体"/>
          <w:bCs/>
          <w:szCs w:val="21"/>
          <w:lang w:val="zh-CN"/>
        </w:rPr>
        <w:t>4、若车辆存在重大缺陷，导致合同目的不能实现，采购人选择无条件退货的，成交供应商按货款原价退还采购人。</w:t>
      </w:r>
    </w:p>
    <w:p>
      <w:pPr>
        <w:pStyle w:val="5"/>
        <w:tabs>
          <w:tab w:val="left" w:pos="7740"/>
        </w:tabs>
        <w:spacing w:line="300" w:lineRule="auto"/>
        <w:ind w:firstLine="562"/>
        <w:jc w:val="center"/>
        <w:outlineLvl w:val="0"/>
        <w:rPr>
          <w:b/>
          <w:bCs/>
          <w:kern w:val="2"/>
          <w:sz w:val="28"/>
          <w:szCs w:val="28"/>
        </w:rPr>
      </w:pPr>
      <w:bookmarkStart w:id="9" w:name="_Toc447699759"/>
      <w:r>
        <w:rPr>
          <w:rFonts w:hint="eastAsia"/>
          <w:b/>
          <w:bCs/>
          <w:kern w:val="2"/>
          <w:sz w:val="28"/>
          <w:szCs w:val="28"/>
        </w:rPr>
        <w:t>第三章  开标、评标、定标</w:t>
      </w:r>
    </w:p>
    <w:p>
      <w:pPr>
        <w:spacing w:line="360" w:lineRule="auto"/>
        <w:ind w:firstLine="422" w:firstLineChars="200"/>
        <w:rPr>
          <w:rFonts w:ascii="宋体"/>
          <w:b/>
          <w:szCs w:val="20"/>
        </w:rPr>
      </w:pPr>
      <w:r>
        <w:rPr>
          <w:rFonts w:hint="eastAsia" w:ascii="宋体"/>
          <w:b/>
          <w:szCs w:val="20"/>
        </w:rPr>
        <w:t>一、开标</w:t>
      </w:r>
    </w:p>
    <w:p>
      <w:pPr>
        <w:spacing w:line="360" w:lineRule="auto"/>
        <w:ind w:firstLine="420" w:firstLineChars="200"/>
        <w:rPr>
          <w:rFonts w:ascii="宋体"/>
          <w:bCs/>
          <w:szCs w:val="20"/>
        </w:rPr>
      </w:pPr>
      <w:r>
        <w:rPr>
          <w:rFonts w:hint="eastAsia" w:ascii="宋体"/>
          <w:bCs/>
          <w:szCs w:val="20"/>
        </w:rPr>
        <w:t>1.招标采购单位在《谈判邀请函》中规定的日期、时间和地点组织开标。参加开标的各方应签到以证明其出席。</w:t>
      </w:r>
    </w:p>
    <w:p>
      <w:pPr>
        <w:spacing w:line="360" w:lineRule="auto"/>
        <w:ind w:firstLine="420" w:firstLineChars="200"/>
        <w:rPr>
          <w:rFonts w:ascii="宋体"/>
          <w:bCs/>
          <w:szCs w:val="20"/>
        </w:rPr>
      </w:pPr>
      <w:r>
        <w:rPr>
          <w:rFonts w:hint="eastAsia" w:ascii="宋体"/>
          <w:bCs/>
          <w:szCs w:val="20"/>
        </w:rPr>
        <w:t>2.开标时，由投标人或其推选的代表检查响应文件的密封情况，也可以由招标采购单位检查，经确认无误后由招标工作人员当众拆封，宣读投标人名称</w:t>
      </w:r>
      <w:r>
        <w:rPr>
          <w:rFonts w:hint="eastAsia" w:ascii="宋体"/>
          <w:b/>
          <w:szCs w:val="20"/>
        </w:rPr>
        <w:t>（投标报价不作宣读）</w:t>
      </w:r>
      <w:r>
        <w:rPr>
          <w:rFonts w:hint="eastAsia" w:ascii="宋体"/>
          <w:bCs/>
          <w:szCs w:val="20"/>
        </w:rPr>
        <w:t>。</w:t>
      </w:r>
    </w:p>
    <w:p>
      <w:pPr>
        <w:spacing w:line="360" w:lineRule="auto"/>
        <w:ind w:firstLine="420" w:firstLineChars="200"/>
        <w:rPr>
          <w:rFonts w:ascii="宋体"/>
          <w:bCs/>
          <w:szCs w:val="20"/>
        </w:rPr>
      </w:pPr>
      <w:r>
        <w:rPr>
          <w:rFonts w:hint="eastAsia" w:ascii="宋体"/>
          <w:bCs/>
          <w:szCs w:val="20"/>
        </w:rPr>
        <w:t>3.招标采购单位做好开标记录，开标记录由各投标人签字确认。</w:t>
      </w:r>
    </w:p>
    <w:p>
      <w:pPr>
        <w:spacing w:line="360" w:lineRule="auto"/>
        <w:ind w:firstLine="422" w:firstLineChars="200"/>
        <w:rPr>
          <w:rFonts w:ascii="宋体"/>
          <w:b/>
          <w:szCs w:val="20"/>
        </w:rPr>
      </w:pPr>
      <w:r>
        <w:rPr>
          <w:rFonts w:hint="eastAsia" w:ascii="宋体"/>
          <w:b/>
          <w:szCs w:val="20"/>
        </w:rPr>
        <w:t>二、评标方法、步骤及标准</w:t>
      </w:r>
    </w:p>
    <w:p>
      <w:pPr>
        <w:spacing w:line="360" w:lineRule="auto"/>
        <w:ind w:firstLine="420" w:firstLineChars="200"/>
        <w:rPr>
          <w:rFonts w:ascii="宋体" w:hAnsi="宋体"/>
          <w:bCs/>
          <w:szCs w:val="21"/>
        </w:rPr>
      </w:pPr>
      <w:r>
        <w:rPr>
          <w:rFonts w:hint="eastAsia" w:ascii="宋体" w:hAnsi="宋体"/>
          <w:bCs/>
          <w:szCs w:val="21"/>
        </w:rPr>
        <w:t>1、谈判原则：谈判小组依据相关要求，遵循“公开、公平、公正、择优、信用”的原则。</w:t>
      </w:r>
    </w:p>
    <w:p>
      <w:pPr>
        <w:spacing w:line="360" w:lineRule="auto"/>
        <w:ind w:firstLine="420" w:firstLineChars="200"/>
        <w:rPr>
          <w:rFonts w:ascii="宋体" w:hAnsi="宋体"/>
          <w:bCs/>
          <w:szCs w:val="21"/>
        </w:rPr>
      </w:pPr>
      <w:r>
        <w:rPr>
          <w:rFonts w:hint="eastAsia" w:ascii="宋体" w:hAnsi="宋体"/>
          <w:bCs/>
          <w:szCs w:val="21"/>
        </w:rPr>
        <w:t>2、评审方法：</w:t>
      </w:r>
      <w:r>
        <w:rPr>
          <w:rFonts w:hint="eastAsia" w:ascii="宋体" w:hAnsi="宋体"/>
          <w:b/>
          <w:szCs w:val="21"/>
        </w:rPr>
        <w:t>采用最低评标价法</w:t>
      </w:r>
      <w:r>
        <w:rPr>
          <w:rFonts w:hint="eastAsia" w:ascii="宋体" w:hAnsi="宋体"/>
          <w:bCs/>
          <w:szCs w:val="21"/>
        </w:rPr>
        <w:t>，即在符合采购需求、质量和服务相等的前提下，最后报价最低的供应商作为成交供应商</w:t>
      </w:r>
      <w:r>
        <w:rPr>
          <w:rFonts w:hint="eastAsia" w:ascii="宋体" w:hAnsi="宋体" w:cs="宋体"/>
        </w:rPr>
        <w:t>。</w:t>
      </w:r>
    </w:p>
    <w:p>
      <w:pPr>
        <w:spacing w:line="360" w:lineRule="auto"/>
        <w:ind w:firstLine="420" w:firstLineChars="200"/>
        <w:rPr>
          <w:rFonts w:ascii="宋体"/>
          <w:bCs/>
          <w:szCs w:val="20"/>
        </w:rPr>
      </w:pPr>
      <w:r>
        <w:rPr>
          <w:rFonts w:hint="eastAsia" w:ascii="宋体" w:hAnsi="宋体" w:cs="宋体"/>
        </w:rPr>
        <w:t>3、</w:t>
      </w:r>
      <w:r>
        <w:rPr>
          <w:rFonts w:hint="eastAsia" w:ascii="宋体" w:hAnsi="宋体"/>
          <w:bCs/>
          <w:szCs w:val="21"/>
        </w:rPr>
        <w:t>谈判程序：</w:t>
      </w:r>
      <w:r>
        <w:rPr>
          <w:rFonts w:hint="eastAsia" w:ascii="宋体" w:hAnsi="宋体" w:cs="宋体"/>
        </w:rPr>
        <w:t>谈判小组按供应商</w:t>
      </w:r>
      <w:r>
        <w:rPr>
          <w:rFonts w:hint="eastAsia" w:ascii="宋体" w:hAnsi="宋体" w:cs="宋体"/>
          <w:b/>
          <w:bCs/>
        </w:rPr>
        <w:t>签到顺序</w:t>
      </w:r>
      <w:r>
        <w:rPr>
          <w:rFonts w:hint="eastAsia" w:ascii="宋体" w:hAnsi="宋体" w:cs="宋体"/>
        </w:rPr>
        <w:t>集中与单一供应商分别进行谈判。</w:t>
      </w:r>
      <w:r>
        <w:rPr>
          <w:rFonts w:hint="eastAsia" w:ascii="宋体" w:hAnsi="宋体"/>
          <w:bCs/>
          <w:szCs w:val="21"/>
        </w:rPr>
        <w:t>如谈判小组认为有必要，可进行二轮及以上轮次的谈判；如谈判文件、响应文件没有重大修改的，后一轮报价不能高于前一轮报价。</w:t>
      </w:r>
    </w:p>
    <w:p>
      <w:pPr>
        <w:spacing w:line="360" w:lineRule="auto"/>
        <w:ind w:firstLine="422" w:firstLineChars="200"/>
        <w:rPr>
          <w:rFonts w:ascii="宋体"/>
          <w:b/>
          <w:szCs w:val="20"/>
        </w:rPr>
      </w:pPr>
      <w:r>
        <w:rPr>
          <w:rFonts w:hint="eastAsia" w:ascii="宋体"/>
          <w:b/>
          <w:szCs w:val="20"/>
        </w:rPr>
        <w:t>三、废标情形</w:t>
      </w:r>
    </w:p>
    <w:p>
      <w:pPr>
        <w:spacing w:line="360" w:lineRule="auto"/>
        <w:ind w:firstLine="420" w:firstLineChars="200"/>
        <w:rPr>
          <w:rFonts w:ascii="宋体"/>
          <w:bCs/>
          <w:szCs w:val="20"/>
        </w:rPr>
      </w:pPr>
      <w:r>
        <w:rPr>
          <w:rFonts w:hint="eastAsia" w:ascii="宋体"/>
          <w:bCs/>
          <w:szCs w:val="20"/>
        </w:rPr>
        <w:t>在招标采购中，出现下列情形之一的，本项目废标：</w:t>
      </w:r>
    </w:p>
    <w:p>
      <w:pPr>
        <w:spacing w:line="360" w:lineRule="auto"/>
        <w:ind w:firstLine="420" w:firstLineChars="200"/>
        <w:rPr>
          <w:rFonts w:ascii="宋体"/>
          <w:bCs/>
          <w:szCs w:val="20"/>
        </w:rPr>
      </w:pPr>
      <w:r>
        <w:rPr>
          <w:rFonts w:hint="eastAsia" w:ascii="宋体"/>
          <w:bCs/>
          <w:szCs w:val="20"/>
        </w:rPr>
        <w:t>1、</w:t>
      </w:r>
      <w:r>
        <w:rPr>
          <w:rFonts w:ascii="宋体"/>
          <w:bCs/>
          <w:szCs w:val="20"/>
        </w:rPr>
        <w:t>符合专业条件的供应商或者对</w:t>
      </w:r>
      <w:r>
        <w:rPr>
          <w:rFonts w:hint="eastAsia" w:ascii="宋体"/>
          <w:bCs/>
          <w:szCs w:val="20"/>
        </w:rPr>
        <w:t>谈判文件</w:t>
      </w:r>
      <w:r>
        <w:rPr>
          <w:rFonts w:ascii="宋体"/>
          <w:bCs/>
          <w:szCs w:val="20"/>
        </w:rPr>
        <w:t>作实质响应的供应商不足三家的；</w:t>
      </w:r>
    </w:p>
    <w:p>
      <w:pPr>
        <w:spacing w:line="360" w:lineRule="auto"/>
        <w:ind w:firstLine="420" w:firstLineChars="200"/>
        <w:rPr>
          <w:rFonts w:ascii="宋体"/>
          <w:bCs/>
          <w:szCs w:val="20"/>
        </w:rPr>
      </w:pPr>
      <w:r>
        <w:rPr>
          <w:rFonts w:hint="eastAsia" w:ascii="宋体"/>
          <w:bCs/>
          <w:szCs w:val="20"/>
        </w:rPr>
        <w:t>2、</w:t>
      </w:r>
      <w:r>
        <w:rPr>
          <w:rFonts w:ascii="宋体"/>
          <w:bCs/>
          <w:szCs w:val="20"/>
        </w:rPr>
        <w:t>出现影响采购公正的违法、违规行为的；</w:t>
      </w:r>
    </w:p>
    <w:p>
      <w:pPr>
        <w:spacing w:line="360" w:lineRule="auto"/>
        <w:ind w:firstLine="420" w:firstLineChars="200"/>
        <w:rPr>
          <w:rFonts w:ascii="宋体"/>
          <w:bCs/>
          <w:szCs w:val="20"/>
        </w:rPr>
      </w:pPr>
      <w:r>
        <w:rPr>
          <w:rFonts w:hint="eastAsia" w:ascii="宋体"/>
          <w:bCs/>
          <w:szCs w:val="20"/>
        </w:rPr>
        <w:t>3、</w:t>
      </w:r>
      <w:r>
        <w:rPr>
          <w:rFonts w:ascii="宋体"/>
          <w:bCs/>
          <w:szCs w:val="20"/>
        </w:rPr>
        <w:t>投标人的报价均超过了采购预算的；</w:t>
      </w:r>
    </w:p>
    <w:p>
      <w:pPr>
        <w:spacing w:line="360" w:lineRule="auto"/>
        <w:ind w:firstLine="420" w:firstLineChars="200"/>
        <w:rPr>
          <w:rFonts w:ascii="宋体"/>
          <w:bCs/>
          <w:szCs w:val="20"/>
        </w:rPr>
      </w:pPr>
      <w:r>
        <w:rPr>
          <w:rFonts w:hint="eastAsia" w:ascii="宋体"/>
          <w:bCs/>
          <w:szCs w:val="20"/>
        </w:rPr>
        <w:t>4、</w:t>
      </w:r>
      <w:r>
        <w:rPr>
          <w:rFonts w:ascii="宋体"/>
          <w:bCs/>
          <w:szCs w:val="20"/>
        </w:rPr>
        <w:t>因重大变故，采购任务取消的。</w:t>
      </w:r>
    </w:p>
    <w:p>
      <w:pPr>
        <w:spacing w:line="360" w:lineRule="auto"/>
        <w:ind w:firstLine="420" w:firstLineChars="200"/>
        <w:rPr>
          <w:rFonts w:ascii="宋体"/>
          <w:bCs/>
          <w:szCs w:val="20"/>
        </w:rPr>
      </w:pPr>
      <w:r>
        <w:rPr>
          <w:rFonts w:hint="eastAsia" w:ascii="宋体"/>
          <w:bCs/>
          <w:szCs w:val="20"/>
        </w:rPr>
        <w:t>四、因</w:t>
      </w:r>
      <w:r>
        <w:rPr>
          <w:rFonts w:ascii="宋体"/>
          <w:bCs/>
          <w:szCs w:val="20"/>
        </w:rPr>
        <w:t>符合专业条件的供应商或者对</w:t>
      </w:r>
      <w:r>
        <w:rPr>
          <w:rFonts w:hint="eastAsia" w:ascii="宋体"/>
          <w:bCs/>
          <w:szCs w:val="20"/>
        </w:rPr>
        <w:t>谈判文件</w:t>
      </w:r>
      <w:r>
        <w:rPr>
          <w:rFonts w:ascii="宋体"/>
          <w:bCs/>
          <w:szCs w:val="20"/>
        </w:rPr>
        <w:t>作实质响应的供应商不足三家</w:t>
      </w:r>
      <w:r>
        <w:rPr>
          <w:rFonts w:hint="eastAsia" w:ascii="宋体"/>
          <w:bCs/>
          <w:szCs w:val="20"/>
        </w:rPr>
        <w:t>而流标一次后，第二次开标仍不足三家时</w:t>
      </w:r>
      <w:r>
        <w:rPr>
          <w:rFonts w:hint="eastAsia" w:ascii="宋体" w:hAnsi="宋体" w:cs="宋体"/>
          <w:kern w:val="0"/>
          <w:szCs w:val="21"/>
        </w:rPr>
        <w:t>，可正常开标。</w:t>
      </w:r>
    </w:p>
    <w:p>
      <w:pPr>
        <w:adjustRightInd w:val="0"/>
        <w:snapToGrid w:val="0"/>
        <w:spacing w:line="460" w:lineRule="exact"/>
        <w:ind w:firstLine="420" w:firstLineChars="200"/>
        <w:rPr>
          <w:rFonts w:ascii="宋体"/>
          <w:bCs/>
          <w:szCs w:val="20"/>
        </w:rPr>
      </w:pPr>
    </w:p>
    <w:p>
      <w:pPr>
        <w:adjustRightInd w:val="0"/>
        <w:snapToGrid w:val="0"/>
        <w:spacing w:line="460" w:lineRule="exact"/>
        <w:ind w:firstLine="420" w:firstLineChars="200"/>
        <w:rPr>
          <w:rFonts w:ascii="宋体"/>
          <w:bCs/>
          <w:szCs w:val="20"/>
        </w:rPr>
      </w:pPr>
    </w:p>
    <w:p>
      <w:pPr>
        <w:adjustRightInd w:val="0"/>
        <w:snapToGrid w:val="0"/>
        <w:spacing w:line="460" w:lineRule="exact"/>
        <w:ind w:firstLine="420" w:firstLineChars="200"/>
        <w:rPr>
          <w:rFonts w:ascii="宋体"/>
          <w:bCs/>
          <w:szCs w:val="20"/>
        </w:rPr>
      </w:pPr>
    </w:p>
    <w:p>
      <w:pPr>
        <w:adjustRightInd w:val="0"/>
        <w:snapToGrid w:val="0"/>
        <w:spacing w:line="460" w:lineRule="exact"/>
        <w:ind w:firstLine="420" w:firstLineChars="200"/>
        <w:rPr>
          <w:rFonts w:ascii="宋体"/>
          <w:bCs/>
          <w:szCs w:val="20"/>
        </w:rPr>
      </w:pPr>
    </w:p>
    <w:p>
      <w:pPr>
        <w:pStyle w:val="2"/>
        <w:rPr>
          <w:rFonts w:ascii="宋体"/>
          <w:bCs/>
          <w:szCs w:val="20"/>
        </w:rPr>
      </w:pPr>
    </w:p>
    <w:p>
      <w:pPr>
        <w:pStyle w:val="2"/>
        <w:rPr>
          <w:rFonts w:ascii="宋体"/>
          <w:bCs/>
          <w:szCs w:val="20"/>
        </w:rPr>
      </w:pPr>
    </w:p>
    <w:p>
      <w:pPr>
        <w:pStyle w:val="2"/>
        <w:rPr>
          <w:rFonts w:ascii="宋体"/>
          <w:bCs/>
          <w:szCs w:val="20"/>
        </w:rPr>
      </w:pPr>
    </w:p>
    <w:p>
      <w:pPr>
        <w:pStyle w:val="2"/>
        <w:rPr>
          <w:rFonts w:ascii="宋体"/>
          <w:bCs/>
          <w:szCs w:val="20"/>
        </w:rPr>
      </w:pPr>
    </w:p>
    <w:p>
      <w:pPr>
        <w:pStyle w:val="2"/>
        <w:rPr>
          <w:rFonts w:ascii="宋体"/>
          <w:bCs/>
          <w:szCs w:val="20"/>
        </w:rPr>
      </w:pPr>
    </w:p>
    <w:bookmarkEnd w:id="9"/>
    <w:p>
      <w:pPr>
        <w:pStyle w:val="4"/>
        <w:spacing w:before="0" w:after="0" w:line="360" w:lineRule="auto"/>
        <w:jc w:val="center"/>
      </w:pPr>
      <w:r>
        <w:rPr>
          <w:rFonts w:hint="eastAsia"/>
        </w:rPr>
        <w:t>最后报价表</w:t>
      </w:r>
    </w:p>
    <w:tbl>
      <w:tblPr>
        <w:tblStyle w:val="37"/>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7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952" w:type="dxa"/>
            <w:noWrap/>
            <w:vAlign w:val="center"/>
          </w:tcPr>
          <w:p>
            <w:pPr>
              <w:jc w:val="center"/>
              <w:rPr>
                <w:rFonts w:ascii="宋体" w:hAnsi="宋体" w:cs="宋体"/>
                <w:b/>
                <w:bCs/>
                <w:sz w:val="22"/>
                <w:szCs w:val="22"/>
              </w:rPr>
            </w:pPr>
            <w:r>
              <w:rPr>
                <w:rFonts w:hint="eastAsia" w:ascii="宋体" w:hAnsi="宋体" w:cs="宋体"/>
                <w:b/>
                <w:bCs/>
                <w:szCs w:val="21"/>
              </w:rPr>
              <w:t>总报价</w:t>
            </w:r>
          </w:p>
        </w:tc>
        <w:tc>
          <w:tcPr>
            <w:tcW w:w="7286" w:type="dxa"/>
            <w:noWrap/>
            <w:vAlign w:val="center"/>
          </w:tcPr>
          <w:p>
            <w:pPr>
              <w:spacing w:line="360" w:lineRule="auto"/>
              <w:rPr>
                <w:rFonts w:ascii="宋体" w:hAnsi="宋体" w:cs="宋体"/>
                <w:b/>
                <w:bCs/>
                <w:szCs w:val="21"/>
                <w:u w:val="single"/>
              </w:rPr>
            </w:pPr>
            <w:r>
              <w:rPr>
                <w:rFonts w:hint="eastAsia" w:ascii="宋体" w:hAnsi="宋体" w:cs="宋体"/>
                <w:b/>
                <w:bCs/>
                <w:szCs w:val="21"/>
              </w:rPr>
              <w:t>（大写）人民币</w:t>
            </w:r>
          </w:p>
          <w:p>
            <w:pPr>
              <w:rPr>
                <w:rFonts w:ascii="宋体" w:hAnsi="宋体" w:cs="宋体"/>
                <w:b/>
                <w:bCs/>
                <w:szCs w:val="21"/>
              </w:rPr>
            </w:pPr>
            <w:r>
              <w:rPr>
                <w:rFonts w:hint="eastAsia" w:ascii="宋体" w:hAnsi="宋体" w:cs="宋体"/>
                <w:b/>
                <w:bCs/>
                <w:szCs w:val="21"/>
              </w:rPr>
              <w:t>（小写）¥</w:t>
            </w:r>
          </w:p>
        </w:tc>
      </w:tr>
    </w:tbl>
    <w:p>
      <w:pPr>
        <w:spacing w:line="360" w:lineRule="auto"/>
        <w:ind w:left="105" w:hanging="105"/>
        <w:rPr>
          <w:rFonts w:ascii="宋体" w:hAnsi="宋体" w:cs="宋体"/>
          <w:szCs w:val="21"/>
          <w:u w:val="single"/>
        </w:rPr>
      </w:pPr>
      <w:r>
        <w:rPr>
          <w:rFonts w:hint="eastAsia" w:ascii="宋体" w:hAnsi="宋体" w:cs="宋体"/>
          <w:szCs w:val="21"/>
        </w:rPr>
        <w:t>承诺内容：</w:t>
      </w:r>
    </w:p>
    <w:p>
      <w:pPr>
        <w:spacing w:line="360" w:lineRule="auto"/>
        <w:rPr>
          <w:rFonts w:ascii="宋体" w:hAnsi="宋体" w:cs="宋体"/>
          <w:szCs w:val="21"/>
          <w:u w:val="single"/>
        </w:rPr>
      </w:pPr>
    </w:p>
    <w:p>
      <w:pPr>
        <w:spacing w:line="360" w:lineRule="auto"/>
        <w:rPr>
          <w:rFonts w:ascii="宋体" w:hAnsi="宋体" w:cs="宋体"/>
          <w:szCs w:val="21"/>
          <w:u w:val="single"/>
        </w:rPr>
      </w:pPr>
    </w:p>
    <w:p>
      <w:pPr>
        <w:spacing w:line="360" w:lineRule="auto"/>
        <w:rPr>
          <w:rFonts w:ascii="宋体" w:hAnsi="宋体" w:cs="宋体"/>
          <w:szCs w:val="21"/>
          <w:u w:val="single"/>
        </w:rPr>
      </w:pPr>
    </w:p>
    <w:p>
      <w:pPr>
        <w:spacing w:line="360" w:lineRule="auto"/>
        <w:rPr>
          <w:rFonts w:ascii="宋体" w:hAnsi="宋体" w:cs="宋体"/>
          <w:szCs w:val="21"/>
          <w:u w:val="single"/>
        </w:rPr>
      </w:pPr>
    </w:p>
    <w:p>
      <w:pPr>
        <w:spacing w:line="360" w:lineRule="auto"/>
        <w:rPr>
          <w:rFonts w:ascii="宋体" w:hAnsi="宋体" w:cs="宋体"/>
          <w:szCs w:val="21"/>
          <w:u w:val="single"/>
        </w:rPr>
      </w:pPr>
    </w:p>
    <w:p>
      <w:pPr>
        <w:spacing w:line="360" w:lineRule="auto"/>
        <w:rPr>
          <w:rFonts w:ascii="宋体" w:hAnsi="宋体"/>
          <w:szCs w:val="21"/>
        </w:rPr>
      </w:pPr>
    </w:p>
    <w:p>
      <w:pPr>
        <w:adjustRightInd w:val="0"/>
        <w:snapToGrid w:val="0"/>
        <w:spacing w:line="360" w:lineRule="auto"/>
        <w:rPr>
          <w:szCs w:val="21"/>
        </w:rPr>
      </w:pPr>
    </w:p>
    <w:p>
      <w:pPr>
        <w:spacing w:line="360" w:lineRule="auto"/>
        <w:rPr>
          <w:szCs w:val="21"/>
          <w:u w:val="single"/>
        </w:rPr>
      </w:pPr>
      <w:r>
        <w:rPr>
          <w:rFonts w:hint="eastAsia"/>
          <w:szCs w:val="21"/>
        </w:rPr>
        <w:t>供应商名称：</w:t>
      </w:r>
    </w:p>
    <w:p>
      <w:pPr>
        <w:spacing w:line="360" w:lineRule="auto"/>
        <w:rPr>
          <w:szCs w:val="21"/>
        </w:rPr>
      </w:pPr>
      <w:r>
        <w:rPr>
          <w:rFonts w:hint="eastAsia"/>
          <w:szCs w:val="21"/>
        </w:rPr>
        <w:t>代表签字（按指纹）：</w:t>
      </w:r>
    </w:p>
    <w:p>
      <w:pPr>
        <w:spacing w:line="360" w:lineRule="auto"/>
        <w:rPr>
          <w:rFonts w:ascii="宋体"/>
          <w:bCs/>
          <w:szCs w:val="20"/>
        </w:rPr>
      </w:pPr>
      <w:r>
        <w:rPr>
          <w:rFonts w:hint="eastAsia"/>
          <w:szCs w:val="21"/>
        </w:rPr>
        <w:t>日期：   年   月   日</w:t>
      </w:r>
    </w:p>
    <w:p>
      <w:pPr>
        <w:adjustRightInd w:val="0"/>
        <w:snapToGrid w:val="0"/>
        <w:spacing w:line="460" w:lineRule="exact"/>
        <w:rPr>
          <w:rFonts w:ascii="黑体" w:hAnsi="宋体" w:eastAsia="黑体" w:cs="宋体"/>
          <w:sz w:val="28"/>
          <w:szCs w:val="28"/>
        </w:rPr>
      </w:pPr>
    </w:p>
    <w:sectPr>
      <w:pgSz w:w="11906" w:h="16838"/>
      <w:pgMar w:top="1440" w:right="1287"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ascii="宋体" w:hAnsi="宋体"/>
      </w:rPr>
      <w:t xml:space="preserve">                                      第 </w:t>
    </w:r>
    <w:r>
      <w:rPr>
        <w:rFonts w:ascii="宋体" w:hAnsi="宋体"/>
      </w:rPr>
      <w:fldChar w:fldCharType="begin"/>
    </w:r>
    <w:r>
      <w:rPr>
        <w:rStyle w:val="41"/>
        <w:rFonts w:ascii="宋体" w:hAnsi="宋体"/>
      </w:rPr>
      <w:instrText xml:space="preserve"> PAGE </w:instrText>
    </w:r>
    <w:r>
      <w:rPr>
        <w:rFonts w:ascii="宋体" w:hAnsi="宋体"/>
      </w:rPr>
      <w:fldChar w:fldCharType="separate"/>
    </w:r>
    <w:r>
      <w:rPr>
        <w:rStyle w:val="41"/>
        <w:rFonts w:ascii="宋体" w:hAnsi="宋体"/>
      </w:rPr>
      <w:t>2</w:t>
    </w:r>
    <w:r>
      <w:rPr>
        <w:rFonts w:ascii="宋体" w:hAnsi="宋体"/>
      </w:rPr>
      <w:fldChar w:fldCharType="end"/>
    </w:r>
    <w:r>
      <w:rPr>
        <w:rFonts w:hint="eastAsia" w:ascii="宋体" w:hAnsi="宋体"/>
      </w:rPr>
      <w:t xml:space="preserve"> 页，共 </w:t>
    </w:r>
    <w:r>
      <w:rPr>
        <w:rFonts w:ascii="宋体" w:hAnsi="宋体"/>
      </w:rPr>
      <w:fldChar w:fldCharType="begin"/>
    </w:r>
    <w:r>
      <w:rPr>
        <w:rStyle w:val="41"/>
        <w:rFonts w:ascii="宋体" w:hAnsi="宋体"/>
      </w:rPr>
      <w:instrText xml:space="preserve"> NUMPAGES </w:instrText>
    </w:r>
    <w:r>
      <w:rPr>
        <w:rFonts w:ascii="宋体" w:hAnsi="宋体"/>
      </w:rPr>
      <w:fldChar w:fldCharType="separate"/>
    </w:r>
    <w:r>
      <w:rPr>
        <w:rStyle w:val="41"/>
        <w:rFonts w:ascii="宋体" w:hAnsi="宋体"/>
      </w:rPr>
      <w:t>13</w:t>
    </w:r>
    <w:r>
      <w:rPr>
        <w:rFonts w:ascii="宋体" w:hAnsi="宋体"/>
      </w:rPr>
      <w:fldChar w:fldCharType="end"/>
    </w:r>
    <w:r>
      <w:rPr>
        <w:rFonts w:hint="eastAsia" w:ascii="宋体" w:hAnsi="宋体"/>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ascii="宋体" w:hAnsi="宋体"/>
      </w:rPr>
      <w:t xml:space="preserve">                                         第 </w:t>
    </w:r>
    <w:r>
      <w:rPr>
        <w:rFonts w:ascii="宋体" w:hAnsi="宋体"/>
      </w:rPr>
      <w:fldChar w:fldCharType="begin"/>
    </w:r>
    <w:r>
      <w:rPr>
        <w:rStyle w:val="41"/>
        <w:rFonts w:ascii="宋体" w:hAnsi="宋体"/>
      </w:rPr>
      <w:instrText xml:space="preserve"> PAGE </w:instrText>
    </w:r>
    <w:r>
      <w:rPr>
        <w:rFonts w:ascii="宋体" w:hAnsi="宋体"/>
      </w:rPr>
      <w:fldChar w:fldCharType="separate"/>
    </w:r>
    <w:r>
      <w:rPr>
        <w:rStyle w:val="41"/>
        <w:rFonts w:ascii="宋体" w:hAnsi="宋体"/>
      </w:rPr>
      <w:t>1</w:t>
    </w:r>
    <w:r>
      <w:rPr>
        <w:rFonts w:ascii="宋体" w:hAnsi="宋体"/>
      </w:rPr>
      <w:fldChar w:fldCharType="end"/>
    </w:r>
    <w:r>
      <w:rPr>
        <w:rFonts w:hint="eastAsia" w:ascii="宋体" w:hAnsi="宋体"/>
      </w:rPr>
      <w:t xml:space="preserve"> 页，共 </w:t>
    </w:r>
    <w:r>
      <w:rPr>
        <w:rFonts w:ascii="宋体" w:hAnsi="宋体"/>
      </w:rPr>
      <w:fldChar w:fldCharType="begin"/>
    </w:r>
    <w:r>
      <w:rPr>
        <w:rStyle w:val="41"/>
        <w:rFonts w:ascii="宋体" w:hAnsi="宋体"/>
      </w:rPr>
      <w:instrText xml:space="preserve"> NUMPAGES </w:instrText>
    </w:r>
    <w:r>
      <w:rPr>
        <w:rFonts w:ascii="宋体" w:hAnsi="宋体"/>
      </w:rPr>
      <w:fldChar w:fldCharType="separate"/>
    </w:r>
    <w:r>
      <w:rPr>
        <w:rStyle w:val="41"/>
        <w:rFonts w:ascii="宋体" w:hAnsi="宋体"/>
      </w:rPr>
      <w:t>13</w:t>
    </w:r>
    <w:r>
      <w:rPr>
        <w:rFonts w:ascii="宋体" w:hAnsi="宋体"/>
      </w:rPr>
      <w:fldChar w:fldCharType="end"/>
    </w:r>
    <w:r>
      <w:rPr>
        <w:rFonts w:hint="eastAsia" w:ascii="宋体" w:hAnsi="宋体"/>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00F0F"/>
    <w:multiLevelType w:val="multilevel"/>
    <w:tmpl w:val="48800F0F"/>
    <w:lvl w:ilvl="0" w:tentative="0">
      <w:start w:val="1"/>
      <w:numFmt w:val="decimal"/>
      <w:pStyle w:val="58"/>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67"/>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6785DDE"/>
    <w:multiLevelType w:val="multilevel"/>
    <w:tmpl w:val="66785DDE"/>
    <w:lvl w:ilvl="0" w:tentative="0">
      <w:start w:val="1"/>
      <w:numFmt w:val="decimal"/>
      <w:pStyle w:val="69"/>
      <w:lvlText w:val="%1."/>
      <w:lvlJc w:val="left"/>
      <w:pPr>
        <w:tabs>
          <w:tab w:val="left" w:pos="425"/>
        </w:tabs>
        <w:ind w:left="425" w:hanging="425"/>
      </w:pPr>
    </w:lvl>
    <w:lvl w:ilvl="1" w:tentative="0">
      <w:start w:val="7"/>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M2QzNzYzOWZkN2MyNTFlOWQ0MzFlMmRmNGY1ZGMifQ=="/>
  </w:docVars>
  <w:rsids>
    <w:rsidRoot w:val="00224A86"/>
    <w:rsid w:val="0000145F"/>
    <w:rsid w:val="0000284F"/>
    <w:rsid w:val="00003866"/>
    <w:rsid w:val="000045B7"/>
    <w:rsid w:val="0000640A"/>
    <w:rsid w:val="000125AF"/>
    <w:rsid w:val="00013A9F"/>
    <w:rsid w:val="00014B64"/>
    <w:rsid w:val="00016681"/>
    <w:rsid w:val="00021E4B"/>
    <w:rsid w:val="000231AC"/>
    <w:rsid w:val="00024DAC"/>
    <w:rsid w:val="00025AF0"/>
    <w:rsid w:val="00031E0C"/>
    <w:rsid w:val="00032AAF"/>
    <w:rsid w:val="00037153"/>
    <w:rsid w:val="000420E0"/>
    <w:rsid w:val="00043901"/>
    <w:rsid w:val="00046963"/>
    <w:rsid w:val="00047845"/>
    <w:rsid w:val="00050278"/>
    <w:rsid w:val="00050DBD"/>
    <w:rsid w:val="00053DB7"/>
    <w:rsid w:val="00062AFD"/>
    <w:rsid w:val="00064EBA"/>
    <w:rsid w:val="00071067"/>
    <w:rsid w:val="00072046"/>
    <w:rsid w:val="00072A3E"/>
    <w:rsid w:val="00077F66"/>
    <w:rsid w:val="00080D85"/>
    <w:rsid w:val="0008239F"/>
    <w:rsid w:val="00085467"/>
    <w:rsid w:val="00086D00"/>
    <w:rsid w:val="000A31C5"/>
    <w:rsid w:val="000A413E"/>
    <w:rsid w:val="000A65BB"/>
    <w:rsid w:val="000A6BF5"/>
    <w:rsid w:val="000B1D89"/>
    <w:rsid w:val="000B527E"/>
    <w:rsid w:val="000C5BD2"/>
    <w:rsid w:val="000D06B9"/>
    <w:rsid w:val="000D0703"/>
    <w:rsid w:val="000D15EF"/>
    <w:rsid w:val="000D234B"/>
    <w:rsid w:val="000D47BB"/>
    <w:rsid w:val="000D5AF6"/>
    <w:rsid w:val="000D5C02"/>
    <w:rsid w:val="000D757B"/>
    <w:rsid w:val="000D7F8C"/>
    <w:rsid w:val="000E3BB8"/>
    <w:rsid w:val="000E5B1B"/>
    <w:rsid w:val="00100346"/>
    <w:rsid w:val="0010150E"/>
    <w:rsid w:val="00105A8F"/>
    <w:rsid w:val="0011138A"/>
    <w:rsid w:val="00111AF6"/>
    <w:rsid w:val="00116F08"/>
    <w:rsid w:val="00121264"/>
    <w:rsid w:val="0012556B"/>
    <w:rsid w:val="00135503"/>
    <w:rsid w:val="001374B2"/>
    <w:rsid w:val="0014743E"/>
    <w:rsid w:val="00151C1A"/>
    <w:rsid w:val="0015687F"/>
    <w:rsid w:val="00157D0C"/>
    <w:rsid w:val="00160A34"/>
    <w:rsid w:val="00171DE1"/>
    <w:rsid w:val="001723F9"/>
    <w:rsid w:val="001728C2"/>
    <w:rsid w:val="00172AE6"/>
    <w:rsid w:val="001774C7"/>
    <w:rsid w:val="00182B4B"/>
    <w:rsid w:val="00182B5C"/>
    <w:rsid w:val="00192C28"/>
    <w:rsid w:val="001A39C8"/>
    <w:rsid w:val="001A6EE0"/>
    <w:rsid w:val="001B2F58"/>
    <w:rsid w:val="001B6947"/>
    <w:rsid w:val="001B73D5"/>
    <w:rsid w:val="001C050E"/>
    <w:rsid w:val="001C3CC8"/>
    <w:rsid w:val="001C4C0E"/>
    <w:rsid w:val="001C61BC"/>
    <w:rsid w:val="001C7600"/>
    <w:rsid w:val="001D1E7E"/>
    <w:rsid w:val="001E29E5"/>
    <w:rsid w:val="001E437B"/>
    <w:rsid w:val="001E455B"/>
    <w:rsid w:val="001E4F7B"/>
    <w:rsid w:val="001F43EC"/>
    <w:rsid w:val="001F758B"/>
    <w:rsid w:val="001F7844"/>
    <w:rsid w:val="00200068"/>
    <w:rsid w:val="00202942"/>
    <w:rsid w:val="00205830"/>
    <w:rsid w:val="00207BAB"/>
    <w:rsid w:val="00215377"/>
    <w:rsid w:val="00217A87"/>
    <w:rsid w:val="00221A5F"/>
    <w:rsid w:val="00222707"/>
    <w:rsid w:val="00223145"/>
    <w:rsid w:val="00223C72"/>
    <w:rsid w:val="00224A86"/>
    <w:rsid w:val="00232E16"/>
    <w:rsid w:val="0023321D"/>
    <w:rsid w:val="002341FC"/>
    <w:rsid w:val="00235851"/>
    <w:rsid w:val="00235DAC"/>
    <w:rsid w:val="0023643A"/>
    <w:rsid w:val="00236752"/>
    <w:rsid w:val="002374A1"/>
    <w:rsid w:val="00237857"/>
    <w:rsid w:val="0024018E"/>
    <w:rsid w:val="00240BCB"/>
    <w:rsid w:val="00245B9E"/>
    <w:rsid w:val="002460E8"/>
    <w:rsid w:val="00246A49"/>
    <w:rsid w:val="00247B6A"/>
    <w:rsid w:val="002523E9"/>
    <w:rsid w:val="002536F4"/>
    <w:rsid w:val="00265057"/>
    <w:rsid w:val="0026552B"/>
    <w:rsid w:val="0027449E"/>
    <w:rsid w:val="00274559"/>
    <w:rsid w:val="002767F9"/>
    <w:rsid w:val="00280BF6"/>
    <w:rsid w:val="002810D5"/>
    <w:rsid w:val="00281C0E"/>
    <w:rsid w:val="002820E3"/>
    <w:rsid w:val="002833C5"/>
    <w:rsid w:val="00286EFB"/>
    <w:rsid w:val="00287016"/>
    <w:rsid w:val="00287228"/>
    <w:rsid w:val="00290AB8"/>
    <w:rsid w:val="00291285"/>
    <w:rsid w:val="0029573C"/>
    <w:rsid w:val="002A0793"/>
    <w:rsid w:val="002A0A04"/>
    <w:rsid w:val="002A338A"/>
    <w:rsid w:val="002A4532"/>
    <w:rsid w:val="002A6C71"/>
    <w:rsid w:val="002B0199"/>
    <w:rsid w:val="002B1B36"/>
    <w:rsid w:val="002C3385"/>
    <w:rsid w:val="002C47B2"/>
    <w:rsid w:val="002C4E14"/>
    <w:rsid w:val="002C6864"/>
    <w:rsid w:val="002D2F57"/>
    <w:rsid w:val="002D2F62"/>
    <w:rsid w:val="002D6168"/>
    <w:rsid w:val="002E1D27"/>
    <w:rsid w:val="002E3F12"/>
    <w:rsid w:val="002E6EDD"/>
    <w:rsid w:val="002E7F29"/>
    <w:rsid w:val="002F1D40"/>
    <w:rsid w:val="002F27EF"/>
    <w:rsid w:val="002F368D"/>
    <w:rsid w:val="002F5FFE"/>
    <w:rsid w:val="002F7E1F"/>
    <w:rsid w:val="00300FC8"/>
    <w:rsid w:val="00305A92"/>
    <w:rsid w:val="0030783C"/>
    <w:rsid w:val="00313B47"/>
    <w:rsid w:val="00320706"/>
    <w:rsid w:val="003256F6"/>
    <w:rsid w:val="0032743F"/>
    <w:rsid w:val="00331DB1"/>
    <w:rsid w:val="00332AE3"/>
    <w:rsid w:val="0033371D"/>
    <w:rsid w:val="0033657F"/>
    <w:rsid w:val="003417BD"/>
    <w:rsid w:val="003478FC"/>
    <w:rsid w:val="00350F9D"/>
    <w:rsid w:val="003511FF"/>
    <w:rsid w:val="0037293F"/>
    <w:rsid w:val="00375CA9"/>
    <w:rsid w:val="00382DDE"/>
    <w:rsid w:val="00387DB6"/>
    <w:rsid w:val="00390790"/>
    <w:rsid w:val="00392130"/>
    <w:rsid w:val="003947FB"/>
    <w:rsid w:val="003A5698"/>
    <w:rsid w:val="003A653E"/>
    <w:rsid w:val="003A666F"/>
    <w:rsid w:val="003A7A58"/>
    <w:rsid w:val="003B0195"/>
    <w:rsid w:val="003B4C0B"/>
    <w:rsid w:val="003B582A"/>
    <w:rsid w:val="003C2932"/>
    <w:rsid w:val="003C4214"/>
    <w:rsid w:val="003C5125"/>
    <w:rsid w:val="003C6928"/>
    <w:rsid w:val="003D01EF"/>
    <w:rsid w:val="003D242E"/>
    <w:rsid w:val="003D32CC"/>
    <w:rsid w:val="003D5649"/>
    <w:rsid w:val="003D7CCB"/>
    <w:rsid w:val="003E4C40"/>
    <w:rsid w:val="003E4CBA"/>
    <w:rsid w:val="003E5171"/>
    <w:rsid w:val="003E6216"/>
    <w:rsid w:val="003F3323"/>
    <w:rsid w:val="003F34F3"/>
    <w:rsid w:val="0040056D"/>
    <w:rsid w:val="004020AC"/>
    <w:rsid w:val="004023A4"/>
    <w:rsid w:val="0040627C"/>
    <w:rsid w:val="00412F16"/>
    <w:rsid w:val="00414355"/>
    <w:rsid w:val="0041738A"/>
    <w:rsid w:val="00417D7E"/>
    <w:rsid w:val="004221AA"/>
    <w:rsid w:val="00424912"/>
    <w:rsid w:val="004300FB"/>
    <w:rsid w:val="004306B0"/>
    <w:rsid w:val="00431BCC"/>
    <w:rsid w:val="00442A70"/>
    <w:rsid w:val="004434BC"/>
    <w:rsid w:val="00445A7C"/>
    <w:rsid w:val="00454B16"/>
    <w:rsid w:val="00455653"/>
    <w:rsid w:val="0045650B"/>
    <w:rsid w:val="004573D1"/>
    <w:rsid w:val="0045784D"/>
    <w:rsid w:val="00463068"/>
    <w:rsid w:val="00466775"/>
    <w:rsid w:val="00466A54"/>
    <w:rsid w:val="00470450"/>
    <w:rsid w:val="00471D55"/>
    <w:rsid w:val="00471F75"/>
    <w:rsid w:val="00472290"/>
    <w:rsid w:val="00472949"/>
    <w:rsid w:val="004744CD"/>
    <w:rsid w:val="00476A79"/>
    <w:rsid w:val="00477E82"/>
    <w:rsid w:val="00484481"/>
    <w:rsid w:val="00484990"/>
    <w:rsid w:val="004856B0"/>
    <w:rsid w:val="00487E57"/>
    <w:rsid w:val="00490624"/>
    <w:rsid w:val="0049193E"/>
    <w:rsid w:val="004950E0"/>
    <w:rsid w:val="004A19B5"/>
    <w:rsid w:val="004A3AA0"/>
    <w:rsid w:val="004B2ECB"/>
    <w:rsid w:val="004B434D"/>
    <w:rsid w:val="004B7775"/>
    <w:rsid w:val="004B7FB6"/>
    <w:rsid w:val="004C4F41"/>
    <w:rsid w:val="004C7040"/>
    <w:rsid w:val="004D0BE3"/>
    <w:rsid w:val="004D1DA4"/>
    <w:rsid w:val="004D3EEE"/>
    <w:rsid w:val="004D450C"/>
    <w:rsid w:val="004D65EB"/>
    <w:rsid w:val="004E73EB"/>
    <w:rsid w:val="00500670"/>
    <w:rsid w:val="00500BDF"/>
    <w:rsid w:val="0050704D"/>
    <w:rsid w:val="00515BEC"/>
    <w:rsid w:val="005164D4"/>
    <w:rsid w:val="00521D2F"/>
    <w:rsid w:val="005330EB"/>
    <w:rsid w:val="0053480D"/>
    <w:rsid w:val="00536DE3"/>
    <w:rsid w:val="00547202"/>
    <w:rsid w:val="00553CB1"/>
    <w:rsid w:val="005562D3"/>
    <w:rsid w:val="0055706D"/>
    <w:rsid w:val="005570E2"/>
    <w:rsid w:val="005602D7"/>
    <w:rsid w:val="00560668"/>
    <w:rsid w:val="00563D59"/>
    <w:rsid w:val="00565EBD"/>
    <w:rsid w:val="005732C6"/>
    <w:rsid w:val="005750F5"/>
    <w:rsid w:val="005754B5"/>
    <w:rsid w:val="005819EA"/>
    <w:rsid w:val="00582E9E"/>
    <w:rsid w:val="00583124"/>
    <w:rsid w:val="00585641"/>
    <w:rsid w:val="00591CF6"/>
    <w:rsid w:val="00591DFF"/>
    <w:rsid w:val="00591EA1"/>
    <w:rsid w:val="00593EC7"/>
    <w:rsid w:val="00594C52"/>
    <w:rsid w:val="0059515F"/>
    <w:rsid w:val="00597A9A"/>
    <w:rsid w:val="005A0A6E"/>
    <w:rsid w:val="005A3B27"/>
    <w:rsid w:val="005B09BF"/>
    <w:rsid w:val="005B0F1A"/>
    <w:rsid w:val="005B188D"/>
    <w:rsid w:val="005B603D"/>
    <w:rsid w:val="005C3F11"/>
    <w:rsid w:val="005C700C"/>
    <w:rsid w:val="005C7BD0"/>
    <w:rsid w:val="005D15C7"/>
    <w:rsid w:val="005D1BE5"/>
    <w:rsid w:val="005D440C"/>
    <w:rsid w:val="005D54D4"/>
    <w:rsid w:val="005D643C"/>
    <w:rsid w:val="005D70CB"/>
    <w:rsid w:val="005E3B24"/>
    <w:rsid w:val="005E5478"/>
    <w:rsid w:val="005F4652"/>
    <w:rsid w:val="005F7DF0"/>
    <w:rsid w:val="00604760"/>
    <w:rsid w:val="006074C2"/>
    <w:rsid w:val="00632B45"/>
    <w:rsid w:val="006378AA"/>
    <w:rsid w:val="00645962"/>
    <w:rsid w:val="00646B38"/>
    <w:rsid w:val="0065207E"/>
    <w:rsid w:val="00654CF1"/>
    <w:rsid w:val="006561D1"/>
    <w:rsid w:val="006602A1"/>
    <w:rsid w:val="00660BCA"/>
    <w:rsid w:val="006631E6"/>
    <w:rsid w:val="0066734F"/>
    <w:rsid w:val="006731CB"/>
    <w:rsid w:val="006817A0"/>
    <w:rsid w:val="006842DD"/>
    <w:rsid w:val="00687151"/>
    <w:rsid w:val="006A4D9D"/>
    <w:rsid w:val="006A7924"/>
    <w:rsid w:val="006A79BA"/>
    <w:rsid w:val="006B0FDE"/>
    <w:rsid w:val="006B52C0"/>
    <w:rsid w:val="006B5B24"/>
    <w:rsid w:val="006C3424"/>
    <w:rsid w:val="006C348F"/>
    <w:rsid w:val="006C5B3E"/>
    <w:rsid w:val="006D291C"/>
    <w:rsid w:val="006D7053"/>
    <w:rsid w:val="006E6371"/>
    <w:rsid w:val="006F2456"/>
    <w:rsid w:val="006F6D0C"/>
    <w:rsid w:val="006F75DF"/>
    <w:rsid w:val="00712081"/>
    <w:rsid w:val="0071501E"/>
    <w:rsid w:val="00715F5B"/>
    <w:rsid w:val="0071601D"/>
    <w:rsid w:val="007217F7"/>
    <w:rsid w:val="007242D1"/>
    <w:rsid w:val="007249EB"/>
    <w:rsid w:val="007322F4"/>
    <w:rsid w:val="00752CC8"/>
    <w:rsid w:val="00755FB6"/>
    <w:rsid w:val="00756D48"/>
    <w:rsid w:val="00774C2D"/>
    <w:rsid w:val="00776B96"/>
    <w:rsid w:val="00780840"/>
    <w:rsid w:val="00787129"/>
    <w:rsid w:val="00790012"/>
    <w:rsid w:val="007958DA"/>
    <w:rsid w:val="007B1F22"/>
    <w:rsid w:val="007B2CAA"/>
    <w:rsid w:val="007C00CF"/>
    <w:rsid w:val="007C3D2C"/>
    <w:rsid w:val="007C5019"/>
    <w:rsid w:val="007C5C2C"/>
    <w:rsid w:val="007C5C2D"/>
    <w:rsid w:val="007C6237"/>
    <w:rsid w:val="007D0F5D"/>
    <w:rsid w:val="007D52EC"/>
    <w:rsid w:val="007E4482"/>
    <w:rsid w:val="007F7DB5"/>
    <w:rsid w:val="008044A5"/>
    <w:rsid w:val="00810DB7"/>
    <w:rsid w:val="008176D0"/>
    <w:rsid w:val="00817CB7"/>
    <w:rsid w:val="008214C4"/>
    <w:rsid w:val="0082368E"/>
    <w:rsid w:val="0082630F"/>
    <w:rsid w:val="0082716F"/>
    <w:rsid w:val="008307CC"/>
    <w:rsid w:val="00835A72"/>
    <w:rsid w:val="008404DD"/>
    <w:rsid w:val="00840E66"/>
    <w:rsid w:val="0084526E"/>
    <w:rsid w:val="00845E54"/>
    <w:rsid w:val="008464C0"/>
    <w:rsid w:val="008465CE"/>
    <w:rsid w:val="00853F98"/>
    <w:rsid w:val="00855F82"/>
    <w:rsid w:val="008616FE"/>
    <w:rsid w:val="00863F80"/>
    <w:rsid w:val="00864D18"/>
    <w:rsid w:val="0086503F"/>
    <w:rsid w:val="0087634F"/>
    <w:rsid w:val="00881A42"/>
    <w:rsid w:val="00882BF9"/>
    <w:rsid w:val="00882EAA"/>
    <w:rsid w:val="008842C9"/>
    <w:rsid w:val="00884779"/>
    <w:rsid w:val="008872AE"/>
    <w:rsid w:val="00891255"/>
    <w:rsid w:val="008923D5"/>
    <w:rsid w:val="00893684"/>
    <w:rsid w:val="008A059C"/>
    <w:rsid w:val="008A1521"/>
    <w:rsid w:val="008A2B91"/>
    <w:rsid w:val="008A4332"/>
    <w:rsid w:val="008B3EC8"/>
    <w:rsid w:val="008B4B4A"/>
    <w:rsid w:val="008B50D6"/>
    <w:rsid w:val="008B706E"/>
    <w:rsid w:val="008D0ECE"/>
    <w:rsid w:val="008D4FC1"/>
    <w:rsid w:val="008E0E83"/>
    <w:rsid w:val="008E0FEE"/>
    <w:rsid w:val="008E20C7"/>
    <w:rsid w:val="008E5354"/>
    <w:rsid w:val="008E6DA1"/>
    <w:rsid w:val="008E7A97"/>
    <w:rsid w:val="008F7702"/>
    <w:rsid w:val="008F7C71"/>
    <w:rsid w:val="00900567"/>
    <w:rsid w:val="009019ED"/>
    <w:rsid w:val="00903432"/>
    <w:rsid w:val="00915DF7"/>
    <w:rsid w:val="00916D0C"/>
    <w:rsid w:val="00916EAE"/>
    <w:rsid w:val="0092160D"/>
    <w:rsid w:val="0092308F"/>
    <w:rsid w:val="009303B6"/>
    <w:rsid w:val="00930509"/>
    <w:rsid w:val="009325BC"/>
    <w:rsid w:val="00945435"/>
    <w:rsid w:val="009463DD"/>
    <w:rsid w:val="009525F6"/>
    <w:rsid w:val="00952A3D"/>
    <w:rsid w:val="00955359"/>
    <w:rsid w:val="00955515"/>
    <w:rsid w:val="0096136F"/>
    <w:rsid w:val="00965A47"/>
    <w:rsid w:val="009660A2"/>
    <w:rsid w:val="00967450"/>
    <w:rsid w:val="00967477"/>
    <w:rsid w:val="00970507"/>
    <w:rsid w:val="009711D5"/>
    <w:rsid w:val="0097394E"/>
    <w:rsid w:val="00973E23"/>
    <w:rsid w:val="0097462B"/>
    <w:rsid w:val="0097674B"/>
    <w:rsid w:val="00980383"/>
    <w:rsid w:val="00980C86"/>
    <w:rsid w:val="00983719"/>
    <w:rsid w:val="00983B88"/>
    <w:rsid w:val="00985C8D"/>
    <w:rsid w:val="0099095A"/>
    <w:rsid w:val="009945F6"/>
    <w:rsid w:val="00997FE3"/>
    <w:rsid w:val="009A02CD"/>
    <w:rsid w:val="009A040D"/>
    <w:rsid w:val="009A0537"/>
    <w:rsid w:val="009A73CC"/>
    <w:rsid w:val="009B1804"/>
    <w:rsid w:val="009C0018"/>
    <w:rsid w:val="009C1011"/>
    <w:rsid w:val="009D1D34"/>
    <w:rsid w:val="009D401A"/>
    <w:rsid w:val="009D597D"/>
    <w:rsid w:val="009E22BB"/>
    <w:rsid w:val="009F4B24"/>
    <w:rsid w:val="009F538F"/>
    <w:rsid w:val="009F65A6"/>
    <w:rsid w:val="00A019C6"/>
    <w:rsid w:val="00A04E47"/>
    <w:rsid w:val="00A05093"/>
    <w:rsid w:val="00A06AA5"/>
    <w:rsid w:val="00A074E9"/>
    <w:rsid w:val="00A100A3"/>
    <w:rsid w:val="00A12C81"/>
    <w:rsid w:val="00A1308B"/>
    <w:rsid w:val="00A13566"/>
    <w:rsid w:val="00A174AD"/>
    <w:rsid w:val="00A22CCD"/>
    <w:rsid w:val="00A2747E"/>
    <w:rsid w:val="00A27554"/>
    <w:rsid w:val="00A33D53"/>
    <w:rsid w:val="00A34365"/>
    <w:rsid w:val="00A358D9"/>
    <w:rsid w:val="00A45D3E"/>
    <w:rsid w:val="00A46202"/>
    <w:rsid w:val="00A47484"/>
    <w:rsid w:val="00A50964"/>
    <w:rsid w:val="00A52B46"/>
    <w:rsid w:val="00A668C2"/>
    <w:rsid w:val="00A70C7B"/>
    <w:rsid w:val="00A70EB0"/>
    <w:rsid w:val="00A7549D"/>
    <w:rsid w:val="00A75DA1"/>
    <w:rsid w:val="00A76ECD"/>
    <w:rsid w:val="00A80A24"/>
    <w:rsid w:val="00A82BA3"/>
    <w:rsid w:val="00AA31DB"/>
    <w:rsid w:val="00AA6C4B"/>
    <w:rsid w:val="00AA7E5C"/>
    <w:rsid w:val="00AB0604"/>
    <w:rsid w:val="00AB10AB"/>
    <w:rsid w:val="00AB15F9"/>
    <w:rsid w:val="00AC0214"/>
    <w:rsid w:val="00AC1021"/>
    <w:rsid w:val="00AC3614"/>
    <w:rsid w:val="00AC6A61"/>
    <w:rsid w:val="00AC7B57"/>
    <w:rsid w:val="00AC7BEF"/>
    <w:rsid w:val="00AE0D99"/>
    <w:rsid w:val="00AE1D29"/>
    <w:rsid w:val="00AF2C7F"/>
    <w:rsid w:val="00AF3F28"/>
    <w:rsid w:val="00AF685D"/>
    <w:rsid w:val="00B06AC5"/>
    <w:rsid w:val="00B11D13"/>
    <w:rsid w:val="00B14788"/>
    <w:rsid w:val="00B26AF8"/>
    <w:rsid w:val="00B33FB3"/>
    <w:rsid w:val="00B408A7"/>
    <w:rsid w:val="00B4592F"/>
    <w:rsid w:val="00B45B82"/>
    <w:rsid w:val="00B47642"/>
    <w:rsid w:val="00B51AA3"/>
    <w:rsid w:val="00B5281D"/>
    <w:rsid w:val="00B55794"/>
    <w:rsid w:val="00B56223"/>
    <w:rsid w:val="00B5627B"/>
    <w:rsid w:val="00B573B5"/>
    <w:rsid w:val="00B64EE0"/>
    <w:rsid w:val="00B65B74"/>
    <w:rsid w:val="00B665B4"/>
    <w:rsid w:val="00B677F8"/>
    <w:rsid w:val="00B75147"/>
    <w:rsid w:val="00B75490"/>
    <w:rsid w:val="00B754A7"/>
    <w:rsid w:val="00B755DD"/>
    <w:rsid w:val="00B7637E"/>
    <w:rsid w:val="00B77F75"/>
    <w:rsid w:val="00B86AF4"/>
    <w:rsid w:val="00B928CB"/>
    <w:rsid w:val="00B93234"/>
    <w:rsid w:val="00B977A4"/>
    <w:rsid w:val="00B97D67"/>
    <w:rsid w:val="00BA6644"/>
    <w:rsid w:val="00BA7AA3"/>
    <w:rsid w:val="00BB0CE3"/>
    <w:rsid w:val="00BB18B0"/>
    <w:rsid w:val="00BB5A71"/>
    <w:rsid w:val="00BC568F"/>
    <w:rsid w:val="00BC6284"/>
    <w:rsid w:val="00BC793C"/>
    <w:rsid w:val="00BD51D2"/>
    <w:rsid w:val="00BD6ABE"/>
    <w:rsid w:val="00BE1690"/>
    <w:rsid w:val="00BE1762"/>
    <w:rsid w:val="00BE1AF3"/>
    <w:rsid w:val="00BE2C5C"/>
    <w:rsid w:val="00BE3EB9"/>
    <w:rsid w:val="00BE7415"/>
    <w:rsid w:val="00BF401F"/>
    <w:rsid w:val="00BF664B"/>
    <w:rsid w:val="00C11088"/>
    <w:rsid w:val="00C128EE"/>
    <w:rsid w:val="00C173D4"/>
    <w:rsid w:val="00C21B9C"/>
    <w:rsid w:val="00C22E9F"/>
    <w:rsid w:val="00C2463F"/>
    <w:rsid w:val="00C3462C"/>
    <w:rsid w:val="00C36B93"/>
    <w:rsid w:val="00C37FEC"/>
    <w:rsid w:val="00C43371"/>
    <w:rsid w:val="00C43D42"/>
    <w:rsid w:val="00C46E4F"/>
    <w:rsid w:val="00C4701A"/>
    <w:rsid w:val="00C5245E"/>
    <w:rsid w:val="00C61066"/>
    <w:rsid w:val="00C6780C"/>
    <w:rsid w:val="00C70E49"/>
    <w:rsid w:val="00C71F2B"/>
    <w:rsid w:val="00C76B7B"/>
    <w:rsid w:val="00C776DB"/>
    <w:rsid w:val="00C81B14"/>
    <w:rsid w:val="00C824E5"/>
    <w:rsid w:val="00C866FD"/>
    <w:rsid w:val="00C90143"/>
    <w:rsid w:val="00C938E4"/>
    <w:rsid w:val="00C9509C"/>
    <w:rsid w:val="00C9630A"/>
    <w:rsid w:val="00C97FC5"/>
    <w:rsid w:val="00CA641B"/>
    <w:rsid w:val="00CB435F"/>
    <w:rsid w:val="00CB6BAC"/>
    <w:rsid w:val="00CC022D"/>
    <w:rsid w:val="00CC4C69"/>
    <w:rsid w:val="00CC5DC5"/>
    <w:rsid w:val="00CD33DA"/>
    <w:rsid w:val="00CD3E20"/>
    <w:rsid w:val="00CD483F"/>
    <w:rsid w:val="00CD675E"/>
    <w:rsid w:val="00CD6952"/>
    <w:rsid w:val="00CE3106"/>
    <w:rsid w:val="00CE561A"/>
    <w:rsid w:val="00CF436A"/>
    <w:rsid w:val="00CF4FB8"/>
    <w:rsid w:val="00D02682"/>
    <w:rsid w:val="00D05CA9"/>
    <w:rsid w:val="00D06073"/>
    <w:rsid w:val="00D07A92"/>
    <w:rsid w:val="00D11BE0"/>
    <w:rsid w:val="00D126B9"/>
    <w:rsid w:val="00D140B3"/>
    <w:rsid w:val="00D15272"/>
    <w:rsid w:val="00D25C04"/>
    <w:rsid w:val="00D32095"/>
    <w:rsid w:val="00D33969"/>
    <w:rsid w:val="00D37792"/>
    <w:rsid w:val="00D43413"/>
    <w:rsid w:val="00D441EB"/>
    <w:rsid w:val="00D468D2"/>
    <w:rsid w:val="00D52C0A"/>
    <w:rsid w:val="00D54311"/>
    <w:rsid w:val="00D5586B"/>
    <w:rsid w:val="00D564AE"/>
    <w:rsid w:val="00D56DA8"/>
    <w:rsid w:val="00D57C14"/>
    <w:rsid w:val="00D6226E"/>
    <w:rsid w:val="00D63530"/>
    <w:rsid w:val="00D64731"/>
    <w:rsid w:val="00D64BA3"/>
    <w:rsid w:val="00D710B0"/>
    <w:rsid w:val="00D74560"/>
    <w:rsid w:val="00D80EBA"/>
    <w:rsid w:val="00D83871"/>
    <w:rsid w:val="00D90490"/>
    <w:rsid w:val="00D91048"/>
    <w:rsid w:val="00D9306C"/>
    <w:rsid w:val="00D9336B"/>
    <w:rsid w:val="00D95CB8"/>
    <w:rsid w:val="00D96222"/>
    <w:rsid w:val="00DA621C"/>
    <w:rsid w:val="00DA6794"/>
    <w:rsid w:val="00DA6931"/>
    <w:rsid w:val="00DA717D"/>
    <w:rsid w:val="00DB1249"/>
    <w:rsid w:val="00DB2E8D"/>
    <w:rsid w:val="00DC0F85"/>
    <w:rsid w:val="00DC44F4"/>
    <w:rsid w:val="00DC4AFD"/>
    <w:rsid w:val="00DD0D00"/>
    <w:rsid w:val="00DD5122"/>
    <w:rsid w:val="00DD6F83"/>
    <w:rsid w:val="00DE09D6"/>
    <w:rsid w:val="00DE24A4"/>
    <w:rsid w:val="00DE629A"/>
    <w:rsid w:val="00DE6A42"/>
    <w:rsid w:val="00DE76CD"/>
    <w:rsid w:val="00DF0EC0"/>
    <w:rsid w:val="00DF7FDC"/>
    <w:rsid w:val="00E00622"/>
    <w:rsid w:val="00E02527"/>
    <w:rsid w:val="00E043FB"/>
    <w:rsid w:val="00E046E3"/>
    <w:rsid w:val="00E168F6"/>
    <w:rsid w:val="00E230F8"/>
    <w:rsid w:val="00E3074D"/>
    <w:rsid w:val="00E30FBF"/>
    <w:rsid w:val="00E34CC4"/>
    <w:rsid w:val="00E40F2A"/>
    <w:rsid w:val="00E420C8"/>
    <w:rsid w:val="00E4315C"/>
    <w:rsid w:val="00E51216"/>
    <w:rsid w:val="00E53F2C"/>
    <w:rsid w:val="00E5599D"/>
    <w:rsid w:val="00E56B99"/>
    <w:rsid w:val="00E635CB"/>
    <w:rsid w:val="00E7458F"/>
    <w:rsid w:val="00E77245"/>
    <w:rsid w:val="00E77AE6"/>
    <w:rsid w:val="00E8118B"/>
    <w:rsid w:val="00E81545"/>
    <w:rsid w:val="00E87251"/>
    <w:rsid w:val="00EA0C73"/>
    <w:rsid w:val="00EA4539"/>
    <w:rsid w:val="00EA5B92"/>
    <w:rsid w:val="00EA6378"/>
    <w:rsid w:val="00EB5027"/>
    <w:rsid w:val="00EB5688"/>
    <w:rsid w:val="00EB67BB"/>
    <w:rsid w:val="00EB7C9B"/>
    <w:rsid w:val="00EC27E7"/>
    <w:rsid w:val="00EC495A"/>
    <w:rsid w:val="00EC57C9"/>
    <w:rsid w:val="00EC6A72"/>
    <w:rsid w:val="00EC775B"/>
    <w:rsid w:val="00ED2F4D"/>
    <w:rsid w:val="00ED3522"/>
    <w:rsid w:val="00ED6EEA"/>
    <w:rsid w:val="00ED7818"/>
    <w:rsid w:val="00ED78BE"/>
    <w:rsid w:val="00EE1652"/>
    <w:rsid w:val="00EE1825"/>
    <w:rsid w:val="00EE197A"/>
    <w:rsid w:val="00EE1B33"/>
    <w:rsid w:val="00EE1BB0"/>
    <w:rsid w:val="00EE37C9"/>
    <w:rsid w:val="00EE70FD"/>
    <w:rsid w:val="00F033AF"/>
    <w:rsid w:val="00F05207"/>
    <w:rsid w:val="00F06AEE"/>
    <w:rsid w:val="00F06C5A"/>
    <w:rsid w:val="00F1218B"/>
    <w:rsid w:val="00F137F1"/>
    <w:rsid w:val="00F14258"/>
    <w:rsid w:val="00F164A2"/>
    <w:rsid w:val="00F17ECF"/>
    <w:rsid w:val="00F2052F"/>
    <w:rsid w:val="00F212C9"/>
    <w:rsid w:val="00F22705"/>
    <w:rsid w:val="00F2546E"/>
    <w:rsid w:val="00F2555E"/>
    <w:rsid w:val="00F3037B"/>
    <w:rsid w:val="00F34B6F"/>
    <w:rsid w:val="00F35029"/>
    <w:rsid w:val="00F36C17"/>
    <w:rsid w:val="00F373B0"/>
    <w:rsid w:val="00F41626"/>
    <w:rsid w:val="00F46DB1"/>
    <w:rsid w:val="00F477A9"/>
    <w:rsid w:val="00F50D40"/>
    <w:rsid w:val="00F51368"/>
    <w:rsid w:val="00F569C8"/>
    <w:rsid w:val="00F57444"/>
    <w:rsid w:val="00F61F91"/>
    <w:rsid w:val="00F64D0A"/>
    <w:rsid w:val="00F677C1"/>
    <w:rsid w:val="00F725DD"/>
    <w:rsid w:val="00F745F4"/>
    <w:rsid w:val="00F74E87"/>
    <w:rsid w:val="00F75450"/>
    <w:rsid w:val="00F7601C"/>
    <w:rsid w:val="00F766CA"/>
    <w:rsid w:val="00F808CE"/>
    <w:rsid w:val="00F81D3C"/>
    <w:rsid w:val="00F92D70"/>
    <w:rsid w:val="00F92DFB"/>
    <w:rsid w:val="00F96AE6"/>
    <w:rsid w:val="00F97F57"/>
    <w:rsid w:val="00FB1E41"/>
    <w:rsid w:val="00FB31E1"/>
    <w:rsid w:val="00FC2DB0"/>
    <w:rsid w:val="00FC4FA3"/>
    <w:rsid w:val="00FC65E3"/>
    <w:rsid w:val="00FD0709"/>
    <w:rsid w:val="00FD16E6"/>
    <w:rsid w:val="00FD1F1F"/>
    <w:rsid w:val="00FD202D"/>
    <w:rsid w:val="00FD2548"/>
    <w:rsid w:val="00FD292C"/>
    <w:rsid w:val="00FD4822"/>
    <w:rsid w:val="00FD6F89"/>
    <w:rsid w:val="00FD7AAD"/>
    <w:rsid w:val="00FE0999"/>
    <w:rsid w:val="00FE2626"/>
    <w:rsid w:val="00FE3296"/>
    <w:rsid w:val="00FE633F"/>
    <w:rsid w:val="00FE7B5F"/>
    <w:rsid w:val="00FE7CF6"/>
    <w:rsid w:val="00FF7AA0"/>
    <w:rsid w:val="013D65C8"/>
    <w:rsid w:val="04EC67B0"/>
    <w:rsid w:val="09200FE3"/>
    <w:rsid w:val="094E5EDE"/>
    <w:rsid w:val="0C0B7609"/>
    <w:rsid w:val="0C13125D"/>
    <w:rsid w:val="0E8A47D5"/>
    <w:rsid w:val="11D667A6"/>
    <w:rsid w:val="12247984"/>
    <w:rsid w:val="130B79B2"/>
    <w:rsid w:val="174257D3"/>
    <w:rsid w:val="1D46747D"/>
    <w:rsid w:val="1F310C35"/>
    <w:rsid w:val="20A27EA4"/>
    <w:rsid w:val="22C64565"/>
    <w:rsid w:val="26CC4E2F"/>
    <w:rsid w:val="27611CFB"/>
    <w:rsid w:val="282555F8"/>
    <w:rsid w:val="31741F14"/>
    <w:rsid w:val="334730E2"/>
    <w:rsid w:val="36A54B81"/>
    <w:rsid w:val="374378E7"/>
    <w:rsid w:val="3A6B4DF4"/>
    <w:rsid w:val="3AD9779A"/>
    <w:rsid w:val="44061F46"/>
    <w:rsid w:val="49471954"/>
    <w:rsid w:val="4AD55FA0"/>
    <w:rsid w:val="4B0D464A"/>
    <w:rsid w:val="4C8A729F"/>
    <w:rsid w:val="4D3A0EE3"/>
    <w:rsid w:val="4E1532F1"/>
    <w:rsid w:val="4E2E276E"/>
    <w:rsid w:val="4ED967F5"/>
    <w:rsid w:val="501754C9"/>
    <w:rsid w:val="50984DFB"/>
    <w:rsid w:val="519E2D06"/>
    <w:rsid w:val="52084A66"/>
    <w:rsid w:val="535232EC"/>
    <w:rsid w:val="5D485321"/>
    <w:rsid w:val="5E9135C6"/>
    <w:rsid w:val="5EA62330"/>
    <w:rsid w:val="628856DD"/>
    <w:rsid w:val="65285FEE"/>
    <w:rsid w:val="66AD4EDF"/>
    <w:rsid w:val="6825552A"/>
    <w:rsid w:val="6C2D05A1"/>
    <w:rsid w:val="6DBC290F"/>
    <w:rsid w:val="6E4D5003"/>
    <w:rsid w:val="6F002A4A"/>
    <w:rsid w:val="71AD2D62"/>
    <w:rsid w:val="71D76518"/>
    <w:rsid w:val="71EE0738"/>
    <w:rsid w:val="72103489"/>
    <w:rsid w:val="77FF6ECA"/>
    <w:rsid w:val="793C4EF0"/>
    <w:rsid w:val="7A867FAB"/>
    <w:rsid w:val="7BEC056B"/>
    <w:rsid w:val="7DAB684F"/>
    <w:rsid w:val="7FBF4D6B"/>
    <w:rsid w:val="7FD316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1"/>
    <w:qFormat/>
    <w:uiPriority w:val="99"/>
    <w:pPr>
      <w:keepNext/>
      <w:widowControl/>
      <w:jc w:val="left"/>
      <w:outlineLvl w:val="0"/>
    </w:pPr>
    <w:rPr>
      <w:b/>
      <w:bCs/>
      <w:kern w:val="0"/>
      <w:sz w:val="24"/>
    </w:rPr>
  </w:style>
  <w:style w:type="paragraph" w:styleId="4">
    <w:name w:val="heading 2"/>
    <w:basedOn w:val="1"/>
    <w:next w:val="5"/>
    <w:link w:val="98"/>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102"/>
    <w:qFormat/>
    <w:uiPriority w:val="0"/>
    <w:pPr>
      <w:keepNext/>
      <w:outlineLvl w:val="2"/>
    </w:pPr>
    <w:rPr>
      <w:rFonts w:ascii="楷体_GB2312" w:hAnsi="宋体" w:eastAsia="楷体_GB2312"/>
      <w:b/>
      <w:bCs/>
      <w:kern w:val="0"/>
      <w:sz w:val="32"/>
    </w:rPr>
  </w:style>
  <w:style w:type="paragraph" w:styleId="7">
    <w:name w:val="heading 4"/>
    <w:basedOn w:val="1"/>
    <w:next w:val="1"/>
    <w:link w:val="86"/>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8">
    <w:name w:val="heading 5"/>
    <w:basedOn w:val="1"/>
    <w:next w:val="1"/>
    <w:link w:val="84"/>
    <w:qFormat/>
    <w:uiPriority w:val="0"/>
    <w:pPr>
      <w:keepNext/>
      <w:keepLines/>
      <w:widowControl/>
      <w:spacing w:before="280" w:after="290" w:line="376" w:lineRule="auto"/>
      <w:jc w:val="left"/>
      <w:outlineLvl w:val="4"/>
    </w:pPr>
    <w:rPr>
      <w:b/>
      <w:bCs/>
      <w:kern w:val="0"/>
      <w:sz w:val="28"/>
      <w:szCs w:val="28"/>
    </w:rPr>
  </w:style>
  <w:style w:type="paragraph" w:styleId="9">
    <w:name w:val="heading 6"/>
    <w:basedOn w:val="1"/>
    <w:next w:val="1"/>
    <w:link w:val="89"/>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10">
    <w:name w:val="heading 7"/>
    <w:basedOn w:val="1"/>
    <w:next w:val="1"/>
    <w:link w:val="80"/>
    <w:qFormat/>
    <w:uiPriority w:val="0"/>
    <w:pPr>
      <w:keepNext/>
      <w:keepLines/>
      <w:widowControl/>
      <w:spacing w:before="240" w:after="64" w:line="320" w:lineRule="auto"/>
      <w:jc w:val="left"/>
      <w:outlineLvl w:val="6"/>
    </w:pPr>
    <w:rPr>
      <w:b/>
      <w:bCs/>
      <w:kern w:val="0"/>
      <w:sz w:val="24"/>
    </w:rPr>
  </w:style>
  <w:style w:type="paragraph" w:styleId="11">
    <w:name w:val="heading 8"/>
    <w:basedOn w:val="1"/>
    <w:next w:val="1"/>
    <w:link w:val="87"/>
    <w:qFormat/>
    <w:uiPriority w:val="0"/>
    <w:pPr>
      <w:keepNext/>
      <w:keepLines/>
      <w:widowControl/>
      <w:spacing w:before="240" w:after="64" w:line="320" w:lineRule="auto"/>
      <w:jc w:val="left"/>
      <w:outlineLvl w:val="7"/>
    </w:pPr>
    <w:rPr>
      <w:rFonts w:ascii="Arial" w:hAnsi="Arial" w:eastAsia="黑体"/>
      <w:kern w:val="0"/>
      <w:sz w:val="24"/>
    </w:rPr>
  </w:style>
  <w:style w:type="paragraph" w:styleId="12">
    <w:name w:val="heading 9"/>
    <w:basedOn w:val="1"/>
    <w:next w:val="1"/>
    <w:link w:val="92"/>
    <w:qFormat/>
    <w:uiPriority w:val="0"/>
    <w:pPr>
      <w:keepNext/>
      <w:keepLines/>
      <w:widowControl/>
      <w:spacing w:before="240" w:after="64" w:line="320" w:lineRule="auto"/>
      <w:jc w:val="left"/>
      <w:outlineLvl w:val="8"/>
    </w:pPr>
    <w:rPr>
      <w:rFonts w:ascii="Arial" w:hAnsi="Arial" w:eastAsia="黑体"/>
      <w:kern w:val="0"/>
      <w:sz w:val="20"/>
      <w:szCs w:val="21"/>
    </w:rPr>
  </w:style>
  <w:style w:type="character" w:default="1" w:styleId="39">
    <w:name w:val="Default Paragraph Font"/>
    <w:semiHidden/>
    <w:unhideWhenUsed/>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b/>
      <w:szCs w:val="22"/>
    </w:rPr>
  </w:style>
  <w:style w:type="paragraph" w:styleId="5">
    <w:name w:val="Normal Indent"/>
    <w:basedOn w:val="1"/>
    <w:link w:val="104"/>
    <w:qFormat/>
    <w:uiPriority w:val="0"/>
    <w:pPr>
      <w:ind w:firstLine="420" w:firstLineChars="200"/>
    </w:pPr>
    <w:rPr>
      <w:kern w:val="0"/>
      <w:sz w:val="20"/>
      <w:szCs w:val="21"/>
    </w:rPr>
  </w:style>
  <w:style w:type="paragraph" w:styleId="13">
    <w:name w:val="toc 7"/>
    <w:basedOn w:val="1"/>
    <w:next w:val="1"/>
    <w:semiHidden/>
    <w:qFormat/>
    <w:uiPriority w:val="0"/>
    <w:pPr>
      <w:ind w:left="1260"/>
      <w:jc w:val="left"/>
    </w:pPr>
    <w:rPr>
      <w:rFonts w:cs="Calibri"/>
      <w:sz w:val="18"/>
      <w:szCs w:val="18"/>
    </w:rPr>
  </w:style>
  <w:style w:type="paragraph" w:styleId="14">
    <w:name w:val="Document Map"/>
    <w:basedOn w:val="1"/>
    <w:link w:val="96"/>
    <w:qFormat/>
    <w:uiPriority w:val="0"/>
    <w:pPr>
      <w:shd w:val="clear" w:color="auto" w:fill="000080"/>
    </w:pPr>
    <w:rPr>
      <w:kern w:val="0"/>
      <w:sz w:val="20"/>
      <w:szCs w:val="20"/>
    </w:rPr>
  </w:style>
  <w:style w:type="paragraph" w:styleId="15">
    <w:name w:val="annotation text"/>
    <w:basedOn w:val="1"/>
    <w:link w:val="85"/>
    <w:qFormat/>
    <w:uiPriority w:val="99"/>
    <w:pPr>
      <w:jc w:val="left"/>
    </w:pPr>
    <w:rPr>
      <w:kern w:val="0"/>
      <w:sz w:val="20"/>
    </w:rPr>
  </w:style>
  <w:style w:type="paragraph" w:styleId="16">
    <w:name w:val="Body Text 3"/>
    <w:basedOn w:val="1"/>
    <w:link w:val="94"/>
    <w:qFormat/>
    <w:uiPriority w:val="0"/>
    <w:pPr>
      <w:spacing w:after="120"/>
    </w:pPr>
    <w:rPr>
      <w:kern w:val="0"/>
      <w:sz w:val="16"/>
      <w:szCs w:val="16"/>
    </w:rPr>
  </w:style>
  <w:style w:type="paragraph" w:styleId="17">
    <w:name w:val="Body Text"/>
    <w:basedOn w:val="1"/>
    <w:next w:val="18"/>
    <w:link w:val="105"/>
    <w:qFormat/>
    <w:uiPriority w:val="0"/>
    <w:pPr>
      <w:spacing w:after="120"/>
    </w:pPr>
    <w:rPr>
      <w:kern w:val="0"/>
      <w:sz w:val="20"/>
    </w:rPr>
  </w:style>
  <w:style w:type="paragraph" w:styleId="18">
    <w:name w:val="toc 5"/>
    <w:basedOn w:val="1"/>
    <w:next w:val="1"/>
    <w:semiHidden/>
    <w:qFormat/>
    <w:uiPriority w:val="0"/>
    <w:pPr>
      <w:ind w:left="840"/>
      <w:jc w:val="left"/>
    </w:pPr>
    <w:rPr>
      <w:rFonts w:cs="Calibri"/>
      <w:sz w:val="18"/>
      <w:szCs w:val="18"/>
    </w:rPr>
  </w:style>
  <w:style w:type="paragraph" w:styleId="19">
    <w:name w:val="Body Text Indent"/>
    <w:basedOn w:val="1"/>
    <w:link w:val="97"/>
    <w:qFormat/>
    <w:uiPriority w:val="0"/>
    <w:pPr>
      <w:spacing w:line="560" w:lineRule="exact"/>
      <w:ind w:left="300"/>
    </w:pPr>
    <w:rPr>
      <w:kern w:val="0"/>
      <w:sz w:val="24"/>
    </w:rPr>
  </w:style>
  <w:style w:type="paragraph" w:styleId="20">
    <w:name w:val="toc 3"/>
    <w:basedOn w:val="1"/>
    <w:next w:val="1"/>
    <w:qFormat/>
    <w:uiPriority w:val="39"/>
    <w:pPr>
      <w:ind w:left="420"/>
      <w:jc w:val="left"/>
    </w:pPr>
    <w:rPr>
      <w:rFonts w:cs="Calibri"/>
      <w:i/>
      <w:iCs/>
      <w:sz w:val="20"/>
      <w:szCs w:val="20"/>
    </w:rPr>
  </w:style>
  <w:style w:type="paragraph" w:styleId="21">
    <w:name w:val="Plain Text"/>
    <w:basedOn w:val="1"/>
    <w:link w:val="99"/>
    <w:qFormat/>
    <w:uiPriority w:val="0"/>
    <w:rPr>
      <w:rFonts w:ascii="宋体" w:hAnsi="Courier New"/>
      <w:kern w:val="0"/>
      <w:sz w:val="20"/>
      <w:szCs w:val="21"/>
    </w:rPr>
  </w:style>
  <w:style w:type="paragraph" w:styleId="22">
    <w:name w:val="toc 8"/>
    <w:basedOn w:val="1"/>
    <w:next w:val="1"/>
    <w:semiHidden/>
    <w:qFormat/>
    <w:uiPriority w:val="0"/>
    <w:pPr>
      <w:ind w:left="1470"/>
      <w:jc w:val="left"/>
    </w:pPr>
    <w:rPr>
      <w:rFonts w:cs="Calibri"/>
      <w:sz w:val="18"/>
      <w:szCs w:val="18"/>
    </w:rPr>
  </w:style>
  <w:style w:type="paragraph" w:styleId="23">
    <w:name w:val="Date"/>
    <w:basedOn w:val="1"/>
    <w:next w:val="1"/>
    <w:link w:val="88"/>
    <w:qFormat/>
    <w:uiPriority w:val="0"/>
    <w:pPr>
      <w:widowControl/>
    </w:pPr>
    <w:rPr>
      <w:rFonts w:ascii="宋体"/>
      <w:kern w:val="0"/>
      <w:sz w:val="20"/>
      <w:szCs w:val="20"/>
    </w:rPr>
  </w:style>
  <w:style w:type="paragraph" w:styleId="24">
    <w:name w:val="Body Text Indent 2"/>
    <w:basedOn w:val="1"/>
    <w:link w:val="106"/>
    <w:qFormat/>
    <w:uiPriority w:val="0"/>
    <w:pPr>
      <w:spacing w:line="540" w:lineRule="exact"/>
      <w:ind w:left="462" w:leftChars="220"/>
    </w:pPr>
    <w:rPr>
      <w:kern w:val="0"/>
      <w:sz w:val="24"/>
    </w:rPr>
  </w:style>
  <w:style w:type="paragraph" w:styleId="25">
    <w:name w:val="Balloon Text"/>
    <w:basedOn w:val="1"/>
    <w:link w:val="95"/>
    <w:qFormat/>
    <w:uiPriority w:val="99"/>
    <w:rPr>
      <w:kern w:val="0"/>
      <w:sz w:val="18"/>
      <w:szCs w:val="20"/>
    </w:rPr>
  </w:style>
  <w:style w:type="paragraph" w:styleId="26">
    <w:name w:val="footer"/>
    <w:basedOn w:val="1"/>
    <w:link w:val="81"/>
    <w:qFormat/>
    <w:uiPriority w:val="99"/>
    <w:pPr>
      <w:tabs>
        <w:tab w:val="center" w:pos="4153"/>
        <w:tab w:val="right" w:pos="8306"/>
      </w:tabs>
      <w:snapToGrid w:val="0"/>
      <w:jc w:val="left"/>
    </w:pPr>
    <w:rPr>
      <w:kern w:val="0"/>
      <w:sz w:val="18"/>
      <w:szCs w:val="18"/>
    </w:rPr>
  </w:style>
  <w:style w:type="paragraph" w:styleId="27">
    <w:name w:val="header"/>
    <w:basedOn w:val="1"/>
    <w:link w:val="83"/>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cs="Calibri"/>
      <w:b/>
      <w:bCs/>
      <w:caps/>
      <w:szCs w:val="20"/>
    </w:rPr>
  </w:style>
  <w:style w:type="paragraph" w:styleId="29">
    <w:name w:val="toc 4"/>
    <w:basedOn w:val="1"/>
    <w:next w:val="1"/>
    <w:semiHidden/>
    <w:qFormat/>
    <w:uiPriority w:val="0"/>
    <w:pPr>
      <w:ind w:left="630"/>
      <w:jc w:val="left"/>
    </w:pPr>
    <w:rPr>
      <w:rFonts w:cs="Calibri"/>
      <w:sz w:val="18"/>
      <w:szCs w:val="18"/>
    </w:rPr>
  </w:style>
  <w:style w:type="paragraph" w:styleId="30">
    <w:name w:val="toc 6"/>
    <w:basedOn w:val="1"/>
    <w:next w:val="1"/>
    <w:semiHidden/>
    <w:qFormat/>
    <w:uiPriority w:val="0"/>
    <w:pPr>
      <w:ind w:left="1050"/>
      <w:jc w:val="left"/>
    </w:pPr>
    <w:rPr>
      <w:rFonts w:cs="Calibri"/>
      <w:sz w:val="18"/>
      <w:szCs w:val="18"/>
    </w:rPr>
  </w:style>
  <w:style w:type="paragraph" w:styleId="31">
    <w:name w:val="Body Text Indent 3"/>
    <w:basedOn w:val="1"/>
    <w:link w:val="91"/>
    <w:qFormat/>
    <w:uiPriority w:val="0"/>
    <w:pPr>
      <w:spacing w:after="120"/>
      <w:ind w:left="420" w:leftChars="200"/>
    </w:pPr>
    <w:rPr>
      <w:kern w:val="0"/>
      <w:sz w:val="16"/>
      <w:szCs w:val="16"/>
    </w:rPr>
  </w:style>
  <w:style w:type="paragraph" w:styleId="32">
    <w:name w:val="toc 2"/>
    <w:basedOn w:val="1"/>
    <w:next w:val="1"/>
    <w:qFormat/>
    <w:uiPriority w:val="39"/>
    <w:pPr>
      <w:ind w:left="210"/>
      <w:jc w:val="left"/>
    </w:pPr>
    <w:rPr>
      <w:rFonts w:cs="Calibri"/>
      <w:smallCaps/>
      <w:szCs w:val="20"/>
    </w:rPr>
  </w:style>
  <w:style w:type="paragraph" w:styleId="33">
    <w:name w:val="toc 9"/>
    <w:basedOn w:val="1"/>
    <w:next w:val="1"/>
    <w:semiHidden/>
    <w:qFormat/>
    <w:uiPriority w:val="0"/>
    <w:pPr>
      <w:ind w:left="1680"/>
      <w:jc w:val="left"/>
    </w:pPr>
    <w:rPr>
      <w:rFonts w:cs="Calibri"/>
      <w:sz w:val="18"/>
      <w:szCs w:val="18"/>
    </w:rPr>
  </w:style>
  <w:style w:type="paragraph" w:styleId="34">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annotation subject"/>
    <w:basedOn w:val="15"/>
    <w:next w:val="15"/>
    <w:link w:val="79"/>
    <w:semiHidden/>
    <w:qFormat/>
    <w:uiPriority w:val="99"/>
    <w:rPr>
      <w:b/>
      <w:bCs/>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Emphasis"/>
    <w:qFormat/>
    <w:uiPriority w:val="20"/>
    <w:rPr>
      <w:color w:val="CC0000"/>
    </w:rPr>
  </w:style>
  <w:style w:type="character" w:styleId="44">
    <w:name w:val="Hyperlink"/>
    <w:qFormat/>
    <w:uiPriority w:val="99"/>
    <w:rPr>
      <w:rFonts w:eastAsia="宋体"/>
      <w:color w:val="0000FF"/>
      <w:sz w:val="28"/>
      <w:u w:val="single"/>
    </w:rPr>
  </w:style>
  <w:style w:type="character" w:styleId="45">
    <w:name w:val="annotation reference"/>
    <w:semiHidden/>
    <w:qFormat/>
    <w:uiPriority w:val="99"/>
    <w:rPr>
      <w:sz w:val="21"/>
      <w:szCs w:val="21"/>
    </w:rPr>
  </w:style>
  <w:style w:type="paragraph" w:customStyle="1" w:styleId="46">
    <w:name w:val="p0"/>
    <w:basedOn w:val="1"/>
    <w:qFormat/>
    <w:uiPriority w:val="0"/>
    <w:pPr>
      <w:widowControl/>
    </w:pPr>
    <w:rPr>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8">
    <w:name w:val="_Style 2"/>
    <w:basedOn w:val="1"/>
    <w:qFormat/>
    <w:uiPriority w:val="0"/>
    <w:pPr>
      <w:ind w:firstLine="420" w:firstLineChars="200"/>
    </w:pPr>
    <w:rPr>
      <w:szCs w:val="22"/>
    </w:rPr>
  </w:style>
  <w:style w:type="paragraph" w:customStyle="1" w:styleId="49">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50">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5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2">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53">
    <w:name w:val="基准标题"/>
    <w:basedOn w:val="17"/>
    <w:next w:val="17"/>
    <w:qFormat/>
    <w:uiPriority w:val="0"/>
    <w:pPr>
      <w:keepNext/>
      <w:keepLines/>
      <w:widowControl/>
      <w:spacing w:after="0" w:line="240" w:lineRule="atLeast"/>
      <w:jc w:val="left"/>
    </w:pPr>
    <w:rPr>
      <w:rFonts w:ascii="Garamond" w:hAnsi="Garamond"/>
      <w:kern w:val="20"/>
      <w:sz w:val="22"/>
      <w:szCs w:val="20"/>
    </w:rPr>
  </w:style>
  <w:style w:type="paragraph" w:customStyle="1" w:styleId="54">
    <w:name w:val="3 Char"/>
    <w:basedOn w:val="1"/>
    <w:qFormat/>
    <w:uiPriority w:val="0"/>
    <w:pPr>
      <w:widowControl/>
      <w:spacing w:line="400" w:lineRule="exact"/>
      <w:jc w:val="center"/>
    </w:pPr>
    <w:rPr>
      <w:rFonts w:ascii="Verdana" w:hAnsi="Verdana"/>
      <w:kern w:val="0"/>
      <w:szCs w:val="20"/>
      <w:lang w:eastAsia="en-US"/>
    </w:rPr>
  </w:style>
  <w:style w:type="paragraph" w:customStyle="1" w:styleId="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56">
    <w:name w:val="TOC 标题1"/>
    <w:basedOn w:val="3"/>
    <w:next w:val="1"/>
    <w:unhideWhenUsed/>
    <w:qFormat/>
    <w:uiPriority w:val="39"/>
    <w:pPr>
      <w:keepLines/>
      <w:spacing w:before="480" w:line="276" w:lineRule="auto"/>
      <w:outlineLvl w:val="9"/>
    </w:pPr>
    <w:rPr>
      <w:rFonts w:ascii="Cambria" w:hAnsi="Cambria"/>
      <w:color w:val="365F91"/>
      <w:sz w:val="28"/>
      <w:szCs w:val="28"/>
    </w:rPr>
  </w:style>
  <w:style w:type="paragraph" w:customStyle="1" w:styleId="57">
    <w:name w:val="Char1 Char Char Char"/>
    <w:basedOn w:val="1"/>
    <w:qFormat/>
    <w:uiPriority w:val="0"/>
    <w:rPr>
      <w:szCs w:val="20"/>
    </w:rPr>
  </w:style>
  <w:style w:type="paragraph" w:customStyle="1" w:styleId="58">
    <w:name w:val="样式1"/>
    <w:basedOn w:val="1"/>
    <w:qFormat/>
    <w:uiPriority w:val="0"/>
    <w:pPr>
      <w:numPr>
        <w:ilvl w:val="0"/>
        <w:numId w:val="1"/>
      </w:numPr>
      <w:tabs>
        <w:tab w:val="left" w:pos="709"/>
        <w:tab w:val="clear" w:pos="425"/>
      </w:tabs>
      <w:adjustRightInd w:val="0"/>
      <w:textAlignment w:val="baseline"/>
    </w:pPr>
    <w:rPr>
      <w:rFonts w:ascii="宋体" w:hAnsi="宋体"/>
      <w:kern w:val="0"/>
      <w:szCs w:val="20"/>
    </w:rPr>
  </w:style>
  <w:style w:type="paragraph" w:customStyle="1" w:styleId="59">
    <w:name w:val="样式 标题 3h3H3sect1.2.3 + 五号 段前: 6 磅 段后: 6 磅 行距: 单倍行距"/>
    <w:basedOn w:val="6"/>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val="0"/>
      <w:sz w:val="21"/>
      <w:szCs w:val="20"/>
    </w:rPr>
  </w:style>
  <w:style w:type="paragraph" w:customStyle="1" w:styleId="60">
    <w:name w:val="默认段落字体 Para Char Char Char Char"/>
    <w:basedOn w:val="1"/>
    <w:qFormat/>
    <w:uiPriority w:val="0"/>
    <w:rPr>
      <w:szCs w:val="20"/>
    </w:rPr>
  </w:style>
  <w:style w:type="paragraph" w:customStyle="1" w:styleId="61">
    <w:name w:val="Char1"/>
    <w:basedOn w:val="1"/>
    <w:qFormat/>
    <w:uiPriority w:val="0"/>
    <w:pPr>
      <w:widowControl/>
      <w:spacing w:after="160" w:line="240" w:lineRule="exact"/>
      <w:jc w:val="left"/>
    </w:pPr>
    <w:rPr>
      <w:sz w:val="24"/>
    </w:rPr>
  </w:style>
  <w:style w:type="paragraph" w:customStyle="1" w:styleId="62">
    <w:name w:val="列出段落3"/>
    <w:basedOn w:val="1"/>
    <w:unhideWhenUsed/>
    <w:qFormat/>
    <w:uiPriority w:val="99"/>
    <w:pPr>
      <w:ind w:firstLine="420" w:firstLineChars="200"/>
    </w:pPr>
  </w:style>
  <w:style w:type="paragraph" w:customStyle="1" w:styleId="63">
    <w:name w:val="表格"/>
    <w:basedOn w:val="1"/>
    <w:qFormat/>
    <w:uiPriority w:val="0"/>
    <w:pPr>
      <w:spacing w:line="420" w:lineRule="exact"/>
      <w:ind w:left="84" w:leftChars="40"/>
      <w:jc w:val="center"/>
    </w:pPr>
    <w:rPr>
      <w:rFonts w:ascii="宋体" w:hAnsi="宋体"/>
      <w:bCs/>
      <w:spacing w:val="-12"/>
    </w:rPr>
  </w:style>
  <w:style w:type="paragraph" w:customStyle="1" w:styleId="6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6">
    <w:name w:val="样式 标题 2 + 宋体 五号 非加粗 黑色"/>
    <w:basedOn w:val="4"/>
    <w:qFormat/>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sz w:val="21"/>
      <w:szCs w:val="20"/>
    </w:rPr>
  </w:style>
  <w:style w:type="paragraph" w:customStyle="1" w:styleId="67">
    <w:name w:val="样式4"/>
    <w:basedOn w:val="1"/>
    <w:qFormat/>
    <w:uiPriority w:val="0"/>
    <w:pPr>
      <w:numPr>
        <w:ilvl w:val="3"/>
        <w:numId w:val="1"/>
      </w:numPr>
      <w:tabs>
        <w:tab w:val="left" w:pos="425"/>
      </w:tabs>
    </w:pPr>
  </w:style>
  <w:style w:type="paragraph" w:customStyle="1" w:styleId="68">
    <w:name w:val="Char Char Char Char Char Char Char"/>
    <w:basedOn w:val="1"/>
    <w:qFormat/>
    <w:uiPriority w:val="0"/>
    <w:rPr>
      <w:rFonts w:ascii="Tahoma" w:hAnsi="Tahoma" w:cs="Tahoma"/>
      <w:sz w:val="30"/>
      <w:szCs w:val="30"/>
    </w:rPr>
  </w:style>
  <w:style w:type="paragraph" w:customStyle="1" w:styleId="69">
    <w:name w:val="设计方案"/>
    <w:basedOn w:val="1"/>
    <w:qFormat/>
    <w:uiPriority w:val="0"/>
    <w:pPr>
      <w:widowControl/>
      <w:numPr>
        <w:ilvl w:val="0"/>
        <w:numId w:val="2"/>
      </w:numPr>
      <w:spacing w:after="160" w:line="240" w:lineRule="exact"/>
      <w:jc w:val="left"/>
    </w:pPr>
    <w:rPr>
      <w:rFonts w:ascii="Verdana" w:hAnsi="Verdana"/>
      <w:kern w:val="0"/>
      <w:szCs w:val="20"/>
      <w:lang w:eastAsia="en-US"/>
    </w:rPr>
  </w:style>
  <w:style w:type="paragraph" w:styleId="70">
    <w:name w:val="List Paragraph"/>
    <w:basedOn w:val="1"/>
    <w:qFormat/>
    <w:uiPriority w:val="99"/>
    <w:pPr>
      <w:wordWrap w:val="0"/>
      <w:spacing w:line="360" w:lineRule="auto"/>
      <w:ind w:firstLine="420" w:firstLineChars="200"/>
      <w:jc w:val="left"/>
    </w:pPr>
    <w:rPr>
      <w:rFonts w:ascii="宋体" w:hAnsi="宋体"/>
      <w:sz w:val="24"/>
      <w:szCs w:val="22"/>
    </w:rPr>
  </w:style>
  <w:style w:type="paragraph" w:customStyle="1" w:styleId="7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默认段落字体 Para Char"/>
    <w:basedOn w:val="1"/>
    <w:qFormat/>
    <w:uiPriority w:val="0"/>
  </w:style>
  <w:style w:type="paragraph" w:customStyle="1" w:styleId="73">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74">
    <w:name w:val="列出段落31"/>
    <w:basedOn w:val="1"/>
    <w:unhideWhenUsed/>
    <w:qFormat/>
    <w:uiPriority w:val="99"/>
    <w:pPr>
      <w:ind w:firstLine="420" w:firstLineChars="200"/>
    </w:pPr>
  </w:style>
  <w:style w:type="paragraph" w:customStyle="1" w:styleId="75">
    <w:name w:val="列出段落1"/>
    <w:basedOn w:val="1"/>
    <w:qFormat/>
    <w:uiPriority w:val="99"/>
    <w:pPr>
      <w:ind w:firstLine="420" w:firstLineChars="200"/>
    </w:pPr>
  </w:style>
  <w:style w:type="paragraph" w:customStyle="1" w:styleId="76">
    <w:name w:val="列出段落2"/>
    <w:basedOn w:val="1"/>
    <w:unhideWhenUsed/>
    <w:qFormat/>
    <w:uiPriority w:val="99"/>
    <w:pPr>
      <w:ind w:firstLine="420" w:firstLineChars="200"/>
    </w:pPr>
  </w:style>
  <w:style w:type="paragraph" w:customStyle="1" w:styleId="77">
    <w:name w:val="样式 标题 4 + 段前: 5 磅 段后: 5 磅 行距: 单倍行距"/>
    <w:basedOn w:val="7"/>
    <w:qFormat/>
    <w:uiPriority w:val="0"/>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7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79">
    <w:name w:val="批注主题 Char"/>
    <w:link w:val="36"/>
    <w:semiHidden/>
    <w:qFormat/>
    <w:uiPriority w:val="99"/>
    <w:rPr>
      <w:rFonts w:ascii="Times New Roman" w:hAnsi="Times New Roman" w:eastAsia="宋体" w:cs="Times New Roman"/>
      <w:b/>
      <w:bCs/>
      <w:szCs w:val="24"/>
    </w:rPr>
  </w:style>
  <w:style w:type="character" w:customStyle="1" w:styleId="80">
    <w:name w:val="标题 7 Char"/>
    <w:link w:val="10"/>
    <w:qFormat/>
    <w:uiPriority w:val="0"/>
    <w:rPr>
      <w:rFonts w:ascii="Times New Roman" w:hAnsi="Times New Roman" w:eastAsia="宋体" w:cs="Times New Roman"/>
      <w:b/>
      <w:bCs/>
      <w:kern w:val="0"/>
      <w:sz w:val="24"/>
      <w:szCs w:val="24"/>
    </w:rPr>
  </w:style>
  <w:style w:type="character" w:customStyle="1" w:styleId="81">
    <w:name w:val="页脚 Char"/>
    <w:link w:val="26"/>
    <w:qFormat/>
    <w:uiPriority w:val="99"/>
    <w:rPr>
      <w:rFonts w:ascii="Times New Roman" w:hAnsi="Times New Roman" w:eastAsia="宋体" w:cs="Times New Roman"/>
      <w:sz w:val="18"/>
      <w:szCs w:val="18"/>
    </w:rPr>
  </w:style>
  <w:style w:type="character" w:customStyle="1" w:styleId="82">
    <w:name w:val="纯文本 Char1"/>
    <w:qFormat/>
    <w:uiPriority w:val="0"/>
    <w:rPr>
      <w:rFonts w:ascii="宋体" w:hAnsi="Courier New" w:eastAsia="宋体"/>
      <w:kern w:val="2"/>
      <w:sz w:val="21"/>
      <w:lang w:val="en-US" w:eastAsia="zh-CN" w:bidi="ar-SA"/>
    </w:rPr>
  </w:style>
  <w:style w:type="character" w:customStyle="1" w:styleId="83">
    <w:name w:val="页眉 Char"/>
    <w:link w:val="27"/>
    <w:qFormat/>
    <w:uiPriority w:val="99"/>
    <w:rPr>
      <w:rFonts w:ascii="Times New Roman" w:hAnsi="Times New Roman" w:eastAsia="宋体" w:cs="Times New Roman"/>
      <w:sz w:val="18"/>
      <w:szCs w:val="18"/>
    </w:rPr>
  </w:style>
  <w:style w:type="character" w:customStyle="1" w:styleId="84">
    <w:name w:val="标题 5 Char"/>
    <w:link w:val="8"/>
    <w:qFormat/>
    <w:uiPriority w:val="0"/>
    <w:rPr>
      <w:rFonts w:ascii="Times New Roman" w:hAnsi="Times New Roman" w:eastAsia="宋体" w:cs="Times New Roman"/>
      <w:b/>
      <w:bCs/>
      <w:kern w:val="0"/>
      <w:sz w:val="28"/>
      <w:szCs w:val="28"/>
    </w:rPr>
  </w:style>
  <w:style w:type="character" w:customStyle="1" w:styleId="85">
    <w:name w:val="批注文字 Char"/>
    <w:link w:val="15"/>
    <w:qFormat/>
    <w:uiPriority w:val="99"/>
    <w:rPr>
      <w:rFonts w:ascii="Times New Roman" w:hAnsi="Times New Roman" w:eastAsia="宋体" w:cs="Times New Roman"/>
      <w:szCs w:val="24"/>
    </w:rPr>
  </w:style>
  <w:style w:type="character" w:customStyle="1" w:styleId="86">
    <w:name w:val="标题 4 Char"/>
    <w:link w:val="7"/>
    <w:qFormat/>
    <w:uiPriority w:val="0"/>
    <w:rPr>
      <w:rFonts w:ascii="Arial" w:hAnsi="Arial" w:eastAsia="黑体" w:cs="Times New Roman"/>
      <w:b/>
      <w:bCs/>
      <w:kern w:val="0"/>
      <w:sz w:val="28"/>
      <w:szCs w:val="28"/>
    </w:rPr>
  </w:style>
  <w:style w:type="character" w:customStyle="1" w:styleId="87">
    <w:name w:val="标题 8 Char"/>
    <w:link w:val="11"/>
    <w:qFormat/>
    <w:uiPriority w:val="0"/>
    <w:rPr>
      <w:rFonts w:ascii="Arial" w:hAnsi="Arial" w:eastAsia="黑体" w:cs="Times New Roman"/>
      <w:kern w:val="0"/>
      <w:sz w:val="24"/>
      <w:szCs w:val="24"/>
    </w:rPr>
  </w:style>
  <w:style w:type="character" w:customStyle="1" w:styleId="88">
    <w:name w:val="日期 Char"/>
    <w:link w:val="23"/>
    <w:qFormat/>
    <w:uiPriority w:val="0"/>
    <w:rPr>
      <w:rFonts w:ascii="宋体" w:hAnsi="Times New Roman" w:eastAsia="宋体" w:cs="Times New Roman"/>
      <w:kern w:val="0"/>
      <w:szCs w:val="20"/>
    </w:rPr>
  </w:style>
  <w:style w:type="character" w:customStyle="1" w:styleId="89">
    <w:name w:val="标题 6 Char"/>
    <w:link w:val="9"/>
    <w:qFormat/>
    <w:uiPriority w:val="0"/>
    <w:rPr>
      <w:rFonts w:ascii="Arial" w:hAnsi="Arial" w:eastAsia="黑体" w:cs="Times New Roman"/>
      <w:b/>
      <w:bCs/>
      <w:kern w:val="0"/>
      <w:sz w:val="24"/>
      <w:szCs w:val="24"/>
    </w:rPr>
  </w:style>
  <w:style w:type="character" w:customStyle="1" w:styleId="90">
    <w:name w:val="p141"/>
    <w:qFormat/>
    <w:uiPriority w:val="0"/>
    <w:rPr>
      <w:sz w:val="21"/>
      <w:szCs w:val="21"/>
    </w:rPr>
  </w:style>
  <w:style w:type="character" w:customStyle="1" w:styleId="91">
    <w:name w:val="正文文本缩进 3 Char"/>
    <w:link w:val="31"/>
    <w:qFormat/>
    <w:uiPriority w:val="0"/>
    <w:rPr>
      <w:rFonts w:ascii="Times New Roman" w:hAnsi="Times New Roman" w:eastAsia="宋体" w:cs="Times New Roman"/>
      <w:sz w:val="16"/>
      <w:szCs w:val="16"/>
    </w:rPr>
  </w:style>
  <w:style w:type="character" w:customStyle="1" w:styleId="92">
    <w:name w:val="标题 9 Char"/>
    <w:link w:val="12"/>
    <w:qFormat/>
    <w:uiPriority w:val="0"/>
    <w:rPr>
      <w:rFonts w:ascii="Arial" w:hAnsi="Arial" w:eastAsia="黑体" w:cs="Times New Roman"/>
      <w:kern w:val="0"/>
      <w:szCs w:val="21"/>
    </w:rPr>
  </w:style>
  <w:style w:type="character" w:customStyle="1" w:styleId="93">
    <w:name w:val="f141"/>
    <w:qFormat/>
    <w:uiPriority w:val="0"/>
    <w:rPr>
      <w:sz w:val="21"/>
      <w:szCs w:val="21"/>
    </w:rPr>
  </w:style>
  <w:style w:type="character" w:customStyle="1" w:styleId="94">
    <w:name w:val="正文文本 3 Char"/>
    <w:link w:val="16"/>
    <w:qFormat/>
    <w:uiPriority w:val="0"/>
    <w:rPr>
      <w:rFonts w:ascii="Times New Roman" w:hAnsi="Times New Roman" w:eastAsia="宋体" w:cs="Times New Roman"/>
      <w:sz w:val="16"/>
      <w:szCs w:val="16"/>
    </w:rPr>
  </w:style>
  <w:style w:type="character" w:customStyle="1" w:styleId="95">
    <w:name w:val="批注框文本 Char"/>
    <w:link w:val="25"/>
    <w:qFormat/>
    <w:uiPriority w:val="99"/>
    <w:rPr>
      <w:rFonts w:ascii="Times New Roman" w:hAnsi="Times New Roman" w:eastAsia="宋体" w:cs="Times New Roman"/>
      <w:sz w:val="18"/>
      <w:szCs w:val="20"/>
    </w:rPr>
  </w:style>
  <w:style w:type="character" w:customStyle="1" w:styleId="96">
    <w:name w:val="文档结构图 Char"/>
    <w:link w:val="14"/>
    <w:qFormat/>
    <w:uiPriority w:val="0"/>
    <w:rPr>
      <w:rFonts w:ascii="Times New Roman" w:hAnsi="Times New Roman" w:eastAsia="宋体" w:cs="Times New Roman"/>
      <w:szCs w:val="20"/>
      <w:shd w:val="clear" w:color="auto" w:fill="000080"/>
    </w:rPr>
  </w:style>
  <w:style w:type="character" w:customStyle="1" w:styleId="97">
    <w:name w:val="正文文本缩进 Char"/>
    <w:link w:val="19"/>
    <w:qFormat/>
    <w:uiPriority w:val="0"/>
    <w:rPr>
      <w:rFonts w:ascii="Times New Roman" w:hAnsi="Times New Roman" w:eastAsia="宋体" w:cs="Times New Roman"/>
      <w:sz w:val="24"/>
      <w:szCs w:val="24"/>
    </w:rPr>
  </w:style>
  <w:style w:type="character" w:customStyle="1" w:styleId="98">
    <w:name w:val="标题 2 Char"/>
    <w:link w:val="4"/>
    <w:qFormat/>
    <w:uiPriority w:val="0"/>
    <w:rPr>
      <w:rFonts w:ascii="Arial" w:hAnsi="Arial" w:eastAsia="黑体" w:cs="Times New Roman"/>
      <w:b/>
      <w:bCs/>
      <w:sz w:val="32"/>
      <w:szCs w:val="32"/>
    </w:rPr>
  </w:style>
  <w:style w:type="character" w:customStyle="1" w:styleId="99">
    <w:name w:val="纯文本 Char"/>
    <w:link w:val="21"/>
    <w:qFormat/>
    <w:uiPriority w:val="0"/>
    <w:rPr>
      <w:rFonts w:ascii="宋体" w:hAnsi="Courier New" w:eastAsia="宋体" w:cs="Times New Roman"/>
      <w:szCs w:val="21"/>
    </w:rPr>
  </w:style>
  <w:style w:type="character" w:customStyle="1" w:styleId="100">
    <w:name w:val="s10pv000000"/>
    <w:basedOn w:val="39"/>
    <w:qFormat/>
    <w:uiPriority w:val="0"/>
  </w:style>
  <w:style w:type="character" w:customStyle="1" w:styleId="101">
    <w:name w:val="标题 1 Char"/>
    <w:link w:val="3"/>
    <w:qFormat/>
    <w:uiPriority w:val="99"/>
    <w:rPr>
      <w:rFonts w:ascii="Times New Roman" w:hAnsi="Times New Roman" w:eastAsia="宋体" w:cs="Times New Roman"/>
      <w:b/>
      <w:bCs/>
      <w:kern w:val="0"/>
      <w:sz w:val="24"/>
      <w:szCs w:val="24"/>
    </w:rPr>
  </w:style>
  <w:style w:type="character" w:customStyle="1" w:styleId="102">
    <w:name w:val="标题 3 Char"/>
    <w:link w:val="6"/>
    <w:qFormat/>
    <w:uiPriority w:val="0"/>
    <w:rPr>
      <w:rFonts w:ascii="楷体_GB2312" w:hAnsi="宋体" w:eastAsia="楷体_GB2312" w:cs="Times New Roman"/>
      <w:b/>
      <w:bCs/>
      <w:sz w:val="32"/>
      <w:szCs w:val="24"/>
    </w:rPr>
  </w:style>
  <w:style w:type="character" w:customStyle="1" w:styleId="103">
    <w:name w:val="HTML 预设格式 Char"/>
    <w:link w:val="34"/>
    <w:qFormat/>
    <w:uiPriority w:val="0"/>
    <w:rPr>
      <w:rFonts w:ascii="黑体" w:hAnsi="Courier New" w:eastAsia="黑体" w:cs="Courier New"/>
      <w:kern w:val="0"/>
      <w:sz w:val="20"/>
      <w:szCs w:val="20"/>
    </w:rPr>
  </w:style>
  <w:style w:type="character" w:customStyle="1" w:styleId="104">
    <w:name w:val="正文缩进 Char"/>
    <w:link w:val="5"/>
    <w:qFormat/>
    <w:uiPriority w:val="0"/>
    <w:rPr>
      <w:rFonts w:ascii="Times New Roman" w:hAnsi="Times New Roman" w:eastAsia="宋体" w:cs="Times New Roman"/>
      <w:szCs w:val="21"/>
    </w:rPr>
  </w:style>
  <w:style w:type="character" w:customStyle="1" w:styleId="105">
    <w:name w:val="正文文本 Char"/>
    <w:link w:val="17"/>
    <w:qFormat/>
    <w:uiPriority w:val="0"/>
    <w:rPr>
      <w:rFonts w:ascii="Times New Roman" w:hAnsi="Times New Roman" w:eastAsia="宋体" w:cs="Times New Roman"/>
      <w:szCs w:val="24"/>
    </w:rPr>
  </w:style>
  <w:style w:type="character" w:customStyle="1" w:styleId="106">
    <w:name w:val="正文文本缩进 2 Char"/>
    <w:link w:val="24"/>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13</Pages>
  <Words>6594</Words>
  <Characters>7647</Characters>
  <Lines>57</Lines>
  <Paragraphs>16</Paragraphs>
  <TotalTime>251</TotalTime>
  <ScaleCrop>false</ScaleCrop>
  <LinksUpToDate>false</LinksUpToDate>
  <CharactersWithSpaces>7769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2022-04-08T10:14:00Z</dcterms:created>
  <dc:creator>Windows 用户</dc:creator>
  <cp:lastModifiedBy>聪聪那年。</cp:lastModifiedBy>
  <cp:lastPrinted>2021-12-03T07:02:00Z</cp:lastPrinted>
  <dcterms:modified xsi:type="dcterms:W3CDTF">2022-05-16T03:59:03Z</dcterms:modified>
  <dc:title>中山市政府采购中心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450A6F8CD4DD47C29F5F34A3A4C50C52</vt:lpwstr>
  </property>
</Properties>
</file>